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923"/>
      </w:tblGrid>
      <w:tr w:rsidR="00E829B1" w:rsidRPr="00283F73" w:rsidTr="00DC5F6C">
        <w:tc>
          <w:tcPr>
            <w:tcW w:w="9923" w:type="dxa"/>
            <w:tcBorders>
              <w:top w:val="single" w:sz="4" w:space="0" w:color="auto"/>
              <w:bottom w:val="single" w:sz="4" w:space="0" w:color="auto"/>
            </w:tcBorders>
          </w:tcPr>
          <w:p w:rsidR="00E829B1" w:rsidRPr="00283F73" w:rsidRDefault="00FA613D" w:rsidP="00283F73">
            <w:pPr>
              <w:autoSpaceDE w:val="0"/>
              <w:autoSpaceDN w:val="0"/>
              <w:adjustRightInd w:val="0"/>
              <w:ind w:left="426" w:right="498" w:firstLine="283"/>
              <w:contextualSpacing/>
              <w:rPr>
                <w:b/>
                <w:i/>
                <w:szCs w:val="28"/>
                <w:lang w:eastAsia="ru-RU"/>
              </w:rPr>
            </w:pPr>
            <w:r w:rsidRPr="00283F73">
              <w:rPr>
                <w:b/>
                <w:i/>
                <w:szCs w:val="28"/>
              </w:rPr>
              <w:t>По вопросу средств навигационного оборудования на море</w:t>
            </w:r>
          </w:p>
        </w:tc>
      </w:tr>
      <w:tr w:rsidR="00E829B1" w:rsidRPr="00283F73" w:rsidTr="00A36A47">
        <w:tc>
          <w:tcPr>
            <w:tcW w:w="9923" w:type="dxa"/>
            <w:tcBorders>
              <w:top w:val="single" w:sz="4" w:space="0" w:color="auto"/>
              <w:bottom w:val="single" w:sz="4" w:space="0" w:color="auto"/>
            </w:tcBorders>
          </w:tcPr>
          <w:p w:rsidR="00FA613D" w:rsidRPr="00283F73" w:rsidRDefault="007B7F8D" w:rsidP="00283F73">
            <w:pPr>
              <w:pStyle w:val="ae"/>
              <w:spacing w:after="0"/>
              <w:ind w:firstLine="708"/>
              <w:contextualSpacing/>
              <w:jc w:val="both"/>
              <w:rPr>
                <w:szCs w:val="28"/>
              </w:rPr>
            </w:pPr>
            <w:r w:rsidRPr="00283F73">
              <w:rPr>
                <w:szCs w:val="28"/>
              </w:rPr>
              <w:t xml:space="preserve"> </w:t>
            </w:r>
            <w:r w:rsidR="00FA613D" w:rsidRPr="00283F73">
              <w:rPr>
                <w:szCs w:val="28"/>
              </w:rPr>
              <w:t>Маяк, установленный на жестком основании в море либо на берегу, не относится к морскому и сухопутному транспорту, а является средством навигационного оборудования и относится к наземным строениям как недвижимое имущество.</w:t>
            </w:r>
          </w:p>
          <w:p w:rsidR="00FA613D" w:rsidRPr="00283F73" w:rsidRDefault="00FA613D" w:rsidP="00283F73">
            <w:pPr>
              <w:pStyle w:val="ae"/>
              <w:spacing w:after="0"/>
              <w:ind w:firstLine="708"/>
              <w:contextualSpacing/>
              <w:jc w:val="both"/>
              <w:rPr>
                <w:szCs w:val="28"/>
              </w:rPr>
            </w:pPr>
            <w:r w:rsidRPr="00283F73">
              <w:rPr>
                <w:szCs w:val="28"/>
              </w:rPr>
              <w:t>Плавучий маяк также является средством навигационного оборудования, но в соответствии со статьей 7 Кодекса торгового мореплавания Российской Федерации (далее – Кодекс) является судном.</w:t>
            </w:r>
          </w:p>
          <w:p w:rsidR="00FA613D" w:rsidRPr="00283F73" w:rsidRDefault="00FA613D" w:rsidP="00283F73">
            <w:pPr>
              <w:pStyle w:val="ae"/>
              <w:spacing w:after="0"/>
              <w:ind w:firstLine="708"/>
              <w:contextualSpacing/>
              <w:jc w:val="both"/>
              <w:rPr>
                <w:szCs w:val="28"/>
              </w:rPr>
            </w:pPr>
            <w:r w:rsidRPr="00283F73">
              <w:rPr>
                <w:szCs w:val="28"/>
              </w:rPr>
              <w:t>Также сообщаем, что маяк не относится к осветительным прибором, а является ориентиром для определения местоположения судна. Маяки устанавливаются в соответствии с требованиями Правил Международной Ассоциации маячных служб (далее – МАМС) с целью обеспечения определения местоположения судна с заданной точностью и необходимой вероятностью. Сведения о маяке (№ маяка, согласно реестра МАМС, высоту сооружения, высоту над уровнем моря, характер и характеристики огня) можно узнать в книге «Огни и знаки» на данный регион (балтийское море, Черное море и т.д.).</w:t>
            </w:r>
          </w:p>
          <w:p w:rsidR="00FA613D" w:rsidRPr="00283F73" w:rsidRDefault="00FA613D" w:rsidP="00283F73">
            <w:pPr>
              <w:pStyle w:val="ConsPlusNormal"/>
              <w:ind w:firstLine="54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3F73">
              <w:rPr>
                <w:rFonts w:ascii="Times New Roman" w:hAnsi="Times New Roman" w:cs="Times New Roman"/>
                <w:sz w:val="28"/>
                <w:szCs w:val="28"/>
              </w:rPr>
              <w:t>В отношении несамоходной баржи танкера сообщаем, что данный объект относится к судам, так как в соответствии со статьей 7 Кодекса под судном в понимается самоходное или несамоходное плавучее сооружение, используемое в целях торгового мореплавания, а в соответствии со статьей 2 Кодекса под торговым мореплаванием понимается деятельность, связанная с использованием судов для:</w:t>
            </w:r>
          </w:p>
          <w:p w:rsidR="00FA613D" w:rsidRPr="00283F73" w:rsidRDefault="00FA613D" w:rsidP="00283F73">
            <w:pPr>
              <w:pStyle w:val="ConsPlusNormal"/>
              <w:ind w:firstLine="54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3F73">
              <w:rPr>
                <w:rFonts w:ascii="Times New Roman" w:hAnsi="Times New Roman" w:cs="Times New Roman"/>
                <w:sz w:val="28"/>
                <w:szCs w:val="28"/>
              </w:rPr>
              <w:t>- перевозок грузов, пассажиров и их багажа;</w:t>
            </w:r>
          </w:p>
          <w:p w:rsidR="00FA613D" w:rsidRPr="00283F73" w:rsidRDefault="00FA613D" w:rsidP="00283F73">
            <w:pPr>
              <w:pStyle w:val="ConsPlusNormal"/>
              <w:ind w:firstLine="54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3F73">
              <w:rPr>
                <w:rFonts w:ascii="Times New Roman" w:hAnsi="Times New Roman" w:cs="Times New Roman"/>
                <w:sz w:val="28"/>
                <w:szCs w:val="28"/>
              </w:rPr>
              <w:t>- рыболовства;</w:t>
            </w:r>
          </w:p>
          <w:p w:rsidR="00FA613D" w:rsidRPr="00283F73" w:rsidRDefault="00FA613D" w:rsidP="00283F73">
            <w:pPr>
              <w:pStyle w:val="ConsPlusNormal"/>
              <w:ind w:firstLine="54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3F73">
              <w:rPr>
                <w:rFonts w:ascii="Times New Roman" w:hAnsi="Times New Roman" w:cs="Times New Roman"/>
                <w:sz w:val="28"/>
                <w:szCs w:val="28"/>
              </w:rPr>
              <w:t>- разведки и разработки минеральных и других неживых ресурсов морского дна и его недр;</w:t>
            </w:r>
          </w:p>
          <w:p w:rsidR="00FA613D" w:rsidRPr="00283F73" w:rsidRDefault="00FA613D" w:rsidP="00283F73">
            <w:pPr>
              <w:pStyle w:val="ConsPlusNormal"/>
              <w:ind w:firstLine="54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3F73">
              <w:rPr>
                <w:rFonts w:ascii="Times New Roman" w:hAnsi="Times New Roman" w:cs="Times New Roman"/>
                <w:sz w:val="28"/>
                <w:szCs w:val="28"/>
              </w:rPr>
              <w:t>- лоцманской, ледовой лоцманской и ледокольной проводки;</w:t>
            </w:r>
          </w:p>
          <w:p w:rsidR="00FA613D" w:rsidRPr="00283F73" w:rsidRDefault="00FA613D" w:rsidP="00283F73">
            <w:pPr>
              <w:pStyle w:val="ConsPlusNormal"/>
              <w:ind w:firstLine="54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3F73">
              <w:rPr>
                <w:rFonts w:ascii="Times New Roman" w:hAnsi="Times New Roman" w:cs="Times New Roman"/>
                <w:sz w:val="28"/>
                <w:szCs w:val="28"/>
              </w:rPr>
              <w:t>- поисковых, спасательных и буксирных операций;</w:t>
            </w:r>
          </w:p>
          <w:p w:rsidR="00FA613D" w:rsidRPr="00283F73" w:rsidRDefault="00FA613D" w:rsidP="00283F73">
            <w:pPr>
              <w:pStyle w:val="ConsPlusNormal"/>
              <w:ind w:firstLine="54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3F73">
              <w:rPr>
                <w:rFonts w:ascii="Times New Roman" w:hAnsi="Times New Roman" w:cs="Times New Roman"/>
                <w:sz w:val="28"/>
                <w:szCs w:val="28"/>
              </w:rPr>
              <w:t>- подъема затонувшего в море имущества;</w:t>
            </w:r>
          </w:p>
          <w:p w:rsidR="00FA613D" w:rsidRPr="00283F73" w:rsidRDefault="00FA613D" w:rsidP="00283F73">
            <w:pPr>
              <w:pStyle w:val="ConsPlusNormal"/>
              <w:ind w:firstLine="54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3F73">
              <w:rPr>
                <w:rFonts w:ascii="Times New Roman" w:hAnsi="Times New Roman" w:cs="Times New Roman"/>
                <w:sz w:val="28"/>
                <w:szCs w:val="28"/>
              </w:rPr>
              <w:t>- гидротехнических, подводно-технических и других подобных работ;</w:t>
            </w:r>
          </w:p>
          <w:p w:rsidR="00FA613D" w:rsidRPr="00283F73" w:rsidRDefault="00FA613D" w:rsidP="00283F73">
            <w:pPr>
              <w:pStyle w:val="ConsPlusNormal"/>
              <w:ind w:firstLine="54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3F73">
              <w:rPr>
                <w:rFonts w:ascii="Times New Roman" w:hAnsi="Times New Roman" w:cs="Times New Roman"/>
                <w:sz w:val="28"/>
                <w:szCs w:val="28"/>
              </w:rPr>
              <w:t>- санитарного, карантинного и другого контроля;</w:t>
            </w:r>
          </w:p>
          <w:p w:rsidR="00FA613D" w:rsidRPr="00283F73" w:rsidRDefault="00FA613D" w:rsidP="00283F73">
            <w:pPr>
              <w:pStyle w:val="ConsPlusNormal"/>
              <w:ind w:firstLine="54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3F73">
              <w:rPr>
                <w:rFonts w:ascii="Times New Roman" w:hAnsi="Times New Roman" w:cs="Times New Roman"/>
                <w:sz w:val="28"/>
                <w:szCs w:val="28"/>
              </w:rPr>
              <w:t>- защиты и сохранения морской среды;</w:t>
            </w:r>
          </w:p>
          <w:p w:rsidR="00FA613D" w:rsidRPr="00283F73" w:rsidRDefault="00FA613D" w:rsidP="00283F73">
            <w:pPr>
              <w:pStyle w:val="ConsPlusNormal"/>
              <w:ind w:firstLine="54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3F73">
              <w:rPr>
                <w:rFonts w:ascii="Times New Roman" w:hAnsi="Times New Roman" w:cs="Times New Roman"/>
                <w:sz w:val="28"/>
                <w:szCs w:val="28"/>
              </w:rPr>
              <w:t>- проведения морских научных исследований;</w:t>
            </w:r>
          </w:p>
          <w:p w:rsidR="00FA613D" w:rsidRPr="00283F73" w:rsidRDefault="00FA613D" w:rsidP="00283F73">
            <w:pPr>
              <w:pStyle w:val="ConsPlusNormal"/>
              <w:ind w:firstLine="54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3F73">
              <w:rPr>
                <w:rFonts w:ascii="Times New Roman" w:hAnsi="Times New Roman" w:cs="Times New Roman"/>
                <w:sz w:val="28"/>
                <w:szCs w:val="28"/>
              </w:rPr>
              <w:t>- учебных, спортивных и культурных целей;</w:t>
            </w:r>
          </w:p>
          <w:p w:rsidR="00E829B1" w:rsidRPr="00283F73" w:rsidRDefault="00FA613D" w:rsidP="00283F73">
            <w:pPr>
              <w:pStyle w:val="ConsPlusNormal"/>
              <w:ind w:firstLine="54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3F73">
              <w:rPr>
                <w:rFonts w:ascii="Times New Roman" w:hAnsi="Times New Roman" w:cs="Times New Roman"/>
                <w:sz w:val="28"/>
                <w:szCs w:val="28"/>
              </w:rPr>
              <w:t>- иных целей.</w:t>
            </w:r>
          </w:p>
        </w:tc>
      </w:tr>
      <w:tr w:rsidR="00E829B1" w:rsidRPr="00283F73" w:rsidTr="00DF3616">
        <w:tc>
          <w:tcPr>
            <w:tcW w:w="9923" w:type="dxa"/>
            <w:tcBorders>
              <w:top w:val="single" w:sz="4" w:space="0" w:color="auto"/>
              <w:bottom w:val="single" w:sz="4" w:space="0" w:color="auto"/>
            </w:tcBorders>
          </w:tcPr>
          <w:p w:rsidR="00E829B1" w:rsidRPr="00283F73" w:rsidRDefault="00FA613D" w:rsidP="00283F73">
            <w:pPr>
              <w:ind w:left="34" w:firstLine="817"/>
              <w:contextualSpacing/>
              <w:jc w:val="both"/>
              <w:rPr>
                <w:b/>
                <w:i/>
                <w:szCs w:val="28"/>
                <w:lang w:eastAsia="ru-RU"/>
              </w:rPr>
            </w:pPr>
            <w:r w:rsidRPr="00283F73">
              <w:rPr>
                <w:b/>
                <w:i/>
                <w:szCs w:val="28"/>
              </w:rPr>
              <w:t>Какие требования предъявляются к оформлению документов для награждения работников ведомственными наградами</w:t>
            </w:r>
          </w:p>
        </w:tc>
      </w:tr>
      <w:tr w:rsidR="00E829B1" w:rsidRPr="00283F73" w:rsidTr="00E66E18">
        <w:tc>
          <w:tcPr>
            <w:tcW w:w="9923" w:type="dxa"/>
            <w:tcBorders>
              <w:top w:val="single" w:sz="4" w:space="0" w:color="auto"/>
              <w:bottom w:val="single" w:sz="4" w:space="0" w:color="auto"/>
            </w:tcBorders>
          </w:tcPr>
          <w:p w:rsidR="00E829B1" w:rsidRPr="00283F73" w:rsidRDefault="00FA613D" w:rsidP="00283F73">
            <w:pPr>
              <w:ind w:firstLine="851"/>
              <w:contextualSpacing/>
              <w:jc w:val="both"/>
              <w:rPr>
                <w:szCs w:val="28"/>
              </w:rPr>
            </w:pPr>
            <w:r w:rsidRPr="00283F73">
              <w:rPr>
                <w:szCs w:val="28"/>
              </w:rPr>
              <w:t>Требования к оформлению наградных документов и порядок их предоставления регламентируются приказом Минтранса России от 18 октября 2005 г. № 130 «О ведомственных наградах Министерства транспорта Российской Федерации» (в редакции приказов Минтранса России от 20.06.2007 № 78, от 23.09.2013 № 298).</w:t>
            </w:r>
          </w:p>
          <w:p w:rsidR="00CA4914" w:rsidRPr="00283F73" w:rsidRDefault="00CA4914" w:rsidP="00283F73">
            <w:pPr>
              <w:ind w:firstLine="851"/>
              <w:contextualSpacing/>
              <w:jc w:val="both"/>
              <w:rPr>
                <w:szCs w:val="28"/>
              </w:rPr>
            </w:pPr>
          </w:p>
          <w:p w:rsidR="00CA4914" w:rsidRPr="00283F73" w:rsidRDefault="00CA4914" w:rsidP="00283F73">
            <w:pPr>
              <w:ind w:firstLine="851"/>
              <w:contextualSpacing/>
              <w:jc w:val="both"/>
              <w:rPr>
                <w:szCs w:val="28"/>
              </w:rPr>
            </w:pPr>
          </w:p>
          <w:p w:rsidR="00CA4914" w:rsidRPr="00283F73" w:rsidRDefault="00CA4914" w:rsidP="00283F73">
            <w:pPr>
              <w:ind w:firstLine="851"/>
              <w:contextualSpacing/>
              <w:jc w:val="both"/>
              <w:rPr>
                <w:szCs w:val="28"/>
              </w:rPr>
            </w:pPr>
          </w:p>
          <w:p w:rsidR="00CA4914" w:rsidRPr="00283F73" w:rsidRDefault="00CA4914" w:rsidP="00283F73">
            <w:pPr>
              <w:ind w:firstLine="851"/>
              <w:contextualSpacing/>
              <w:jc w:val="both"/>
              <w:rPr>
                <w:szCs w:val="28"/>
                <w:lang w:eastAsia="ru-RU"/>
              </w:rPr>
            </w:pPr>
          </w:p>
        </w:tc>
      </w:tr>
      <w:tr w:rsidR="00FA613D" w:rsidRPr="00283F73" w:rsidTr="00E66E18">
        <w:tc>
          <w:tcPr>
            <w:tcW w:w="9923" w:type="dxa"/>
            <w:tcBorders>
              <w:top w:val="single" w:sz="4" w:space="0" w:color="auto"/>
              <w:bottom w:val="single" w:sz="4" w:space="0" w:color="auto"/>
            </w:tcBorders>
          </w:tcPr>
          <w:p w:rsidR="00FA613D" w:rsidRPr="00283F73" w:rsidRDefault="00CA4914" w:rsidP="00283F73">
            <w:pPr>
              <w:ind w:firstLine="851"/>
              <w:contextualSpacing/>
              <w:rPr>
                <w:szCs w:val="28"/>
              </w:rPr>
            </w:pPr>
            <w:r w:rsidRPr="00283F73">
              <w:rPr>
                <w:b/>
                <w:i/>
                <w:szCs w:val="28"/>
              </w:rPr>
              <w:lastRenderedPageBreak/>
              <w:t>К</w:t>
            </w:r>
            <w:r w:rsidR="00FA613D" w:rsidRPr="00283F73">
              <w:rPr>
                <w:b/>
                <w:i/>
                <w:szCs w:val="28"/>
              </w:rPr>
              <w:t>ак устроится на работу на суда морского и/или речного транспор</w:t>
            </w:r>
            <w:r w:rsidR="00FA613D" w:rsidRPr="00283F73">
              <w:rPr>
                <w:szCs w:val="28"/>
              </w:rPr>
              <w:t>та</w:t>
            </w:r>
          </w:p>
        </w:tc>
      </w:tr>
      <w:tr w:rsidR="00FA613D" w:rsidRPr="00283F73" w:rsidTr="00E66E18">
        <w:tc>
          <w:tcPr>
            <w:tcW w:w="9923" w:type="dxa"/>
            <w:tcBorders>
              <w:top w:val="single" w:sz="4" w:space="0" w:color="auto"/>
              <w:bottom w:val="single" w:sz="4" w:space="0" w:color="auto"/>
            </w:tcBorders>
          </w:tcPr>
          <w:p w:rsidR="00FA613D" w:rsidRPr="00283F73" w:rsidRDefault="00FA613D" w:rsidP="00283F73">
            <w:pPr>
              <w:ind w:firstLine="851"/>
              <w:contextualSpacing/>
              <w:jc w:val="both"/>
              <w:rPr>
                <w:szCs w:val="28"/>
              </w:rPr>
            </w:pPr>
            <w:r w:rsidRPr="00283F73">
              <w:rPr>
                <w:szCs w:val="28"/>
              </w:rPr>
              <w:t>О наличии вакансий на судах морского и/или речного транспорта, а также условиях труда, оплаты и социальных гарантиях можно узнать исключительно в соответствующем подразделении аппарата управления морского или речного пароходства. Адреса пароходств и контактные телефоны размещены в сети «Интернет».</w:t>
            </w:r>
          </w:p>
        </w:tc>
      </w:tr>
      <w:tr w:rsidR="00FA613D" w:rsidRPr="00283F73" w:rsidTr="00E66E18">
        <w:tc>
          <w:tcPr>
            <w:tcW w:w="9923" w:type="dxa"/>
            <w:tcBorders>
              <w:top w:val="single" w:sz="4" w:space="0" w:color="auto"/>
              <w:bottom w:val="single" w:sz="4" w:space="0" w:color="auto"/>
            </w:tcBorders>
          </w:tcPr>
          <w:p w:rsidR="00FA613D" w:rsidRPr="00283F73" w:rsidRDefault="00FA613D" w:rsidP="00283F73">
            <w:pPr>
              <w:ind w:left="851"/>
              <w:contextualSpacing/>
              <w:jc w:val="both"/>
              <w:rPr>
                <w:szCs w:val="28"/>
              </w:rPr>
            </w:pPr>
            <w:r w:rsidRPr="00283F73">
              <w:rPr>
                <w:b/>
                <w:i/>
                <w:szCs w:val="28"/>
              </w:rPr>
              <w:t>О трудовых спорах члена экипажа судна с российским судовладельцем</w:t>
            </w:r>
          </w:p>
        </w:tc>
      </w:tr>
      <w:tr w:rsidR="00FA613D" w:rsidRPr="00283F73" w:rsidTr="00E66E18">
        <w:tc>
          <w:tcPr>
            <w:tcW w:w="9923" w:type="dxa"/>
            <w:tcBorders>
              <w:top w:val="single" w:sz="4" w:space="0" w:color="auto"/>
              <w:bottom w:val="single" w:sz="4" w:space="0" w:color="auto"/>
            </w:tcBorders>
          </w:tcPr>
          <w:p w:rsidR="00FA613D" w:rsidRPr="00283F73" w:rsidRDefault="00FA613D" w:rsidP="00283F73">
            <w:pPr>
              <w:ind w:firstLine="851"/>
              <w:contextualSpacing/>
              <w:jc w:val="both"/>
              <w:rPr>
                <w:szCs w:val="28"/>
              </w:rPr>
            </w:pPr>
            <w:r w:rsidRPr="00283F73">
              <w:rPr>
                <w:szCs w:val="28"/>
              </w:rPr>
              <w:t>В соответствии со статьей 382 Трудового кодекса Российской Федерации: «Индивидуальные трудовые споры рассматриваются комиссиями по трудовым спорам и судами».</w:t>
            </w:r>
          </w:p>
        </w:tc>
      </w:tr>
      <w:tr w:rsidR="00FA613D" w:rsidRPr="00283F73" w:rsidTr="00E66E18">
        <w:tc>
          <w:tcPr>
            <w:tcW w:w="9923" w:type="dxa"/>
            <w:tcBorders>
              <w:top w:val="single" w:sz="4" w:space="0" w:color="auto"/>
              <w:bottom w:val="single" w:sz="4" w:space="0" w:color="auto"/>
            </w:tcBorders>
          </w:tcPr>
          <w:p w:rsidR="00FA613D" w:rsidRPr="00283F73" w:rsidRDefault="00FA613D" w:rsidP="00283F73">
            <w:pPr>
              <w:ind w:firstLine="851"/>
              <w:contextualSpacing/>
              <w:jc w:val="both"/>
              <w:rPr>
                <w:szCs w:val="28"/>
              </w:rPr>
            </w:pPr>
            <w:r w:rsidRPr="00283F73">
              <w:rPr>
                <w:b/>
                <w:i/>
                <w:szCs w:val="28"/>
              </w:rPr>
              <w:t>Каков порядок  поступления на государственную гражданскую службу в Росморречфлот</w:t>
            </w:r>
          </w:p>
        </w:tc>
      </w:tr>
      <w:tr w:rsidR="00FA613D" w:rsidRPr="00283F73" w:rsidTr="00E66E18">
        <w:tc>
          <w:tcPr>
            <w:tcW w:w="9923" w:type="dxa"/>
            <w:tcBorders>
              <w:top w:val="single" w:sz="4" w:space="0" w:color="auto"/>
              <w:bottom w:val="single" w:sz="4" w:space="0" w:color="auto"/>
            </w:tcBorders>
          </w:tcPr>
          <w:p w:rsidR="00FA613D" w:rsidRPr="00283F73" w:rsidRDefault="00FA613D" w:rsidP="00283F73">
            <w:pPr>
              <w:pStyle w:val="af0"/>
              <w:spacing w:before="0" w:beforeAutospacing="0" w:after="0" w:afterAutospacing="0"/>
              <w:ind w:firstLine="720"/>
              <w:contextualSpacing/>
              <w:jc w:val="both"/>
              <w:rPr>
                <w:sz w:val="28"/>
                <w:szCs w:val="28"/>
              </w:rPr>
            </w:pPr>
            <w:r w:rsidRPr="00283F73">
              <w:rPr>
                <w:sz w:val="28"/>
                <w:szCs w:val="28"/>
              </w:rPr>
              <w:t xml:space="preserve">Поступление гражданина на государственную гражданскую службу  регулируется Федеральным законом от 07 июля 2004 г. № 79-ФЗ </w:t>
            </w:r>
            <w:r w:rsidRPr="00283F73">
              <w:rPr>
                <w:sz w:val="28"/>
                <w:szCs w:val="28"/>
              </w:rPr>
              <w:br/>
              <w:t xml:space="preserve">«О государственной гражданской службе Российской Федерации» </w:t>
            </w:r>
            <w:r w:rsidRPr="00283F73">
              <w:rPr>
                <w:sz w:val="28"/>
                <w:szCs w:val="28"/>
              </w:rPr>
              <w:br/>
              <w:t xml:space="preserve">и осуществляется по результатам конкурса, если иное не установлено </w:t>
            </w:r>
            <w:proofErr w:type="spellStart"/>
            <w:r w:rsidRPr="00283F73">
              <w:rPr>
                <w:sz w:val="28"/>
                <w:szCs w:val="28"/>
              </w:rPr>
              <w:t>законом.Порядок</w:t>
            </w:r>
            <w:proofErr w:type="spellEnd"/>
            <w:r w:rsidRPr="00283F73">
              <w:rPr>
                <w:sz w:val="28"/>
                <w:szCs w:val="28"/>
              </w:rPr>
              <w:t xml:space="preserve"> проведения конкурсов определяется Положением о конкурсе на замещение вакантной должности государственной гражданской службы Российской Федерации, утвержденным Указом Президента Российской Федерации от 1 февраля 2005г. № 112. Конкурс проводится Комиссией, состав которой утверждается актом </w:t>
            </w:r>
            <w:proofErr w:type="spellStart"/>
            <w:r w:rsidRPr="00283F73">
              <w:rPr>
                <w:sz w:val="28"/>
                <w:szCs w:val="28"/>
              </w:rPr>
              <w:t>Росморречфлота.Право</w:t>
            </w:r>
            <w:proofErr w:type="spellEnd"/>
            <w:r w:rsidRPr="00283F73">
              <w:rPr>
                <w:sz w:val="28"/>
                <w:szCs w:val="28"/>
              </w:rPr>
              <w:t xml:space="preserve"> на участие в конкурсе имеют граждане Российской Федерации, достигшие возраста 18 лет, владеющие государственным языком Российской Федерации и соответствующие установленным законодательством Российской Федерации о государственной гражданской службе квалификационным требованиям к вакантной должности гражданской </w:t>
            </w:r>
            <w:proofErr w:type="spellStart"/>
            <w:r w:rsidRPr="00283F73">
              <w:rPr>
                <w:sz w:val="28"/>
                <w:szCs w:val="28"/>
              </w:rPr>
              <w:t>службы.Гражданин</w:t>
            </w:r>
            <w:proofErr w:type="spellEnd"/>
            <w:r w:rsidRPr="00283F73">
              <w:rPr>
                <w:sz w:val="28"/>
                <w:szCs w:val="28"/>
              </w:rPr>
              <w:t xml:space="preserve"> Российской Федерации, изъявивший желание участвовать в конкурсе, представляет в Федеральное агентство морского и речного транспорта следующий перечень документов (в соответствии с п. 7 Положения о конкурсе, утвержденного Указом Президента Российской Федерации 01 февраля 2005 года № 112).</w:t>
            </w:r>
          </w:p>
        </w:tc>
      </w:tr>
      <w:tr w:rsidR="00CA4914" w:rsidRPr="00283F73" w:rsidTr="00E66E18">
        <w:tc>
          <w:tcPr>
            <w:tcW w:w="9923" w:type="dxa"/>
            <w:tcBorders>
              <w:top w:val="single" w:sz="4" w:space="0" w:color="auto"/>
              <w:bottom w:val="single" w:sz="4" w:space="0" w:color="auto"/>
            </w:tcBorders>
          </w:tcPr>
          <w:p w:rsidR="00CA4914" w:rsidRPr="00283F73" w:rsidRDefault="00CA4914" w:rsidP="00283F73">
            <w:pPr>
              <w:pStyle w:val="af0"/>
              <w:spacing w:before="0" w:beforeAutospacing="0" w:after="0" w:afterAutospacing="0"/>
              <w:ind w:firstLine="720"/>
              <w:contextualSpacing/>
              <w:jc w:val="both"/>
              <w:rPr>
                <w:b/>
                <w:i/>
                <w:sz w:val="28"/>
                <w:szCs w:val="28"/>
              </w:rPr>
            </w:pPr>
            <w:r w:rsidRPr="00283F73">
              <w:rPr>
                <w:b/>
                <w:i/>
                <w:sz w:val="28"/>
                <w:szCs w:val="28"/>
              </w:rPr>
              <w:t>По вопросу заработной платы в Федеральном государственном бюджетном образовательном учреждении высшего образования «Московская государственная академия водного транспорта»</w:t>
            </w:r>
          </w:p>
        </w:tc>
      </w:tr>
      <w:tr w:rsidR="00CA4914" w:rsidRPr="00283F73" w:rsidTr="00E66E18">
        <w:tc>
          <w:tcPr>
            <w:tcW w:w="9923" w:type="dxa"/>
            <w:tcBorders>
              <w:top w:val="single" w:sz="4" w:space="0" w:color="auto"/>
              <w:bottom w:val="single" w:sz="4" w:space="0" w:color="auto"/>
            </w:tcBorders>
          </w:tcPr>
          <w:p w:rsidR="00CA4914" w:rsidRPr="00283F73" w:rsidRDefault="00CA4914" w:rsidP="00283F73">
            <w:pPr>
              <w:tabs>
                <w:tab w:val="left" w:pos="709"/>
              </w:tabs>
              <w:ind w:firstLine="743"/>
              <w:contextualSpacing/>
              <w:jc w:val="both"/>
              <w:rPr>
                <w:szCs w:val="28"/>
              </w:rPr>
            </w:pPr>
            <w:r w:rsidRPr="00283F73">
              <w:rPr>
                <w:szCs w:val="28"/>
              </w:rPr>
              <w:t>ФГБОУ ВО «МГАВТ» является бюджетным учреждением.</w:t>
            </w:r>
          </w:p>
          <w:p w:rsidR="00CA4914" w:rsidRPr="00283F73" w:rsidRDefault="00CA4914" w:rsidP="00283F73">
            <w:pPr>
              <w:ind w:firstLine="709"/>
              <w:contextualSpacing/>
              <w:jc w:val="both"/>
              <w:rPr>
                <w:szCs w:val="28"/>
              </w:rPr>
            </w:pPr>
            <w:r w:rsidRPr="00283F73">
              <w:rPr>
                <w:szCs w:val="28"/>
              </w:rPr>
              <w:t xml:space="preserve"> Вопросы оплаты труда в бюджетных учреждениях регулируются постановлением Правительства Российской Федерации от 05.08.2008 № 583 «О введении новых систем оплаты труда работников федеральных бюджетных учреждений и федеральных государственных органов, а также гражданского персонала воинских частей, учреждений и подразделений федеральных органов исполнительной власти, в которых законом предусмотрена военная и приравненная к ней служба, оплата которых в настоящее время осуществляется на основе Единой тарифной сетки по оплате труда работников федеральных государственных учреждений» (далее – постановление Правительства Российской Федерации от 05.08.2008 № 583).</w:t>
            </w:r>
          </w:p>
          <w:p w:rsidR="00CA4914" w:rsidRPr="00283F73" w:rsidRDefault="00CA4914" w:rsidP="00283F73">
            <w:pPr>
              <w:tabs>
                <w:tab w:val="left" w:pos="709"/>
              </w:tabs>
              <w:contextualSpacing/>
              <w:jc w:val="both"/>
              <w:rPr>
                <w:szCs w:val="28"/>
              </w:rPr>
            </w:pPr>
            <w:r w:rsidRPr="00283F73">
              <w:rPr>
                <w:szCs w:val="28"/>
              </w:rPr>
              <w:tab/>
              <w:t xml:space="preserve">В целях реализации постановления Правительства Российской Федерации от 05.08.2008 № 583 был издан приказ Росморречфлота от 26.11.2008 № 93 «О </w:t>
            </w:r>
            <w:r w:rsidRPr="00283F73">
              <w:rPr>
                <w:szCs w:val="28"/>
              </w:rPr>
              <w:lastRenderedPageBreak/>
              <w:t>введении новой системы оплаты труда работников бюджетных учреждений, находящихся в ведении Росморречфлота» (далее – приказ Росморречфлота от 26.11.2008 № 93) согласно пункта 7 которого премирование осуществляется по решению</w:t>
            </w:r>
            <w:r w:rsidRPr="00283F73">
              <w:rPr>
                <w:b/>
                <w:szCs w:val="28"/>
              </w:rPr>
              <w:t xml:space="preserve"> </w:t>
            </w:r>
            <w:r w:rsidRPr="00283F73">
              <w:rPr>
                <w:szCs w:val="28"/>
              </w:rPr>
              <w:t>руководителя учреждения в пределах бюджетных ассигнований на оплату труда работников учреждения, а также средств от предпринимательской и иной приносящей доход деятельности, направленных учреждением на оплату труда работников.</w:t>
            </w:r>
          </w:p>
          <w:p w:rsidR="00CA4914" w:rsidRPr="00283F73" w:rsidRDefault="00CA4914" w:rsidP="00283F73">
            <w:pPr>
              <w:ind w:firstLine="851"/>
              <w:contextualSpacing/>
              <w:jc w:val="both"/>
              <w:rPr>
                <w:szCs w:val="28"/>
              </w:rPr>
            </w:pPr>
            <w:r w:rsidRPr="00283F73">
              <w:rPr>
                <w:szCs w:val="28"/>
              </w:rPr>
              <w:t>Во исполнение постановления Правительства Российской Федерации от 05.08.2008 № 583 и приказа  Росморречфлота от 26.11.2008 № 93 И.о. ректора ФГБОУ ВО «МГАВТ» 19.12.2014 года утверждено Положение об оплате труда и иных выплатах ФГБОУ ВО «МГАВТ» (далее  – Положение) в подпункте 7.1.7 которого указано, что выплаты по всем стимулирующим надбавкам и выплатам производятся в пределах утвержденного на календарный год фонда оплаты труда Академии, формирующегося за счет субсидии на выполнение государственного задания и доходов от предпринимательской и иной приносящей доход деятельности Академии. В случае нехватки вышеуказанных средств, стимулирующие выплаты могут быть уменьшены, приостановлены и отменены.</w:t>
            </w:r>
          </w:p>
        </w:tc>
      </w:tr>
      <w:tr w:rsidR="00CA4914" w:rsidRPr="00283F73" w:rsidTr="00E66E18">
        <w:tc>
          <w:tcPr>
            <w:tcW w:w="9923" w:type="dxa"/>
            <w:tcBorders>
              <w:top w:val="single" w:sz="4" w:space="0" w:color="auto"/>
              <w:bottom w:val="single" w:sz="4" w:space="0" w:color="auto"/>
            </w:tcBorders>
          </w:tcPr>
          <w:p w:rsidR="00CA4914" w:rsidRPr="00283F73" w:rsidRDefault="00CA4914" w:rsidP="00283F73">
            <w:pPr>
              <w:tabs>
                <w:tab w:val="left" w:pos="709"/>
              </w:tabs>
              <w:contextualSpacing/>
              <w:jc w:val="both"/>
              <w:rPr>
                <w:b/>
                <w:i/>
                <w:szCs w:val="28"/>
              </w:rPr>
            </w:pPr>
            <w:r w:rsidRPr="00283F73">
              <w:rPr>
                <w:b/>
                <w:i/>
                <w:szCs w:val="28"/>
              </w:rPr>
              <w:lastRenderedPageBreak/>
              <w:t>По вопросу трудоустройства выпускников учебных заведений</w:t>
            </w:r>
          </w:p>
        </w:tc>
      </w:tr>
      <w:tr w:rsidR="00CA4914" w:rsidRPr="00283F73" w:rsidTr="00E66E18">
        <w:tc>
          <w:tcPr>
            <w:tcW w:w="9923" w:type="dxa"/>
            <w:tcBorders>
              <w:top w:val="single" w:sz="4" w:space="0" w:color="auto"/>
              <w:bottom w:val="single" w:sz="4" w:space="0" w:color="auto"/>
            </w:tcBorders>
          </w:tcPr>
          <w:p w:rsidR="00CA4914" w:rsidRPr="00283F73" w:rsidRDefault="00CA4914" w:rsidP="00283F73">
            <w:pPr>
              <w:ind w:firstLine="709"/>
              <w:contextualSpacing/>
              <w:jc w:val="both"/>
              <w:rPr>
                <w:rFonts w:eastAsiaTheme="minorHAnsi"/>
                <w:szCs w:val="28"/>
              </w:rPr>
            </w:pPr>
            <w:r w:rsidRPr="00283F73">
              <w:rPr>
                <w:szCs w:val="28"/>
              </w:rPr>
              <w:t xml:space="preserve">Проблема трудоустройства выпускников после окончания вузов сегодня чрезвычайно актуальна. Система государственного распределения ушла в прошлое. На сегодняшний день, Федеральным законом Российской Федерации </w:t>
            </w:r>
            <w:r w:rsidRPr="00283F73">
              <w:rPr>
                <w:szCs w:val="28"/>
              </w:rPr>
              <w:br/>
            </w:r>
            <w:r w:rsidRPr="00283F73">
              <w:rPr>
                <w:rFonts w:eastAsiaTheme="minorHAnsi"/>
                <w:szCs w:val="28"/>
              </w:rPr>
              <w:t xml:space="preserve">от 29.12.2012 № 273-ФЗ «Об образовании в Российской Федерации» предусмотрено обязательство работодателя по трудоустройству только лиц, обучающихся по договору о целевом обучении, предварительно заключивших договор с компанией о предоставлении рабочего места после окончания обучения в вузе. Со всеми остальными физическими лицами (обучающимися) </w:t>
            </w:r>
            <w:r w:rsidRPr="00283F73">
              <w:rPr>
                <w:szCs w:val="28"/>
              </w:rPr>
              <w:t xml:space="preserve">юридические лица (работодатели) вправе заключать трудовые договоры самостоятельно или через организации по найму и трудоустройству персонала, исходя из наличия вакантных должностей и с учетом предъявляемых к ним профессиональных требований. </w:t>
            </w:r>
          </w:p>
          <w:p w:rsidR="00CA4914" w:rsidRDefault="00CA4914" w:rsidP="00283F73">
            <w:pPr>
              <w:ind w:firstLine="709"/>
              <w:contextualSpacing/>
              <w:jc w:val="both"/>
              <w:rPr>
                <w:szCs w:val="28"/>
              </w:rPr>
            </w:pPr>
            <w:r w:rsidRPr="00283F73">
              <w:rPr>
                <w:szCs w:val="28"/>
              </w:rPr>
              <w:t xml:space="preserve">В условиях функционирования рынка трудовых ресурсов основным критерием в оценке выпускников вузов становится их реальная профессиональная квалификация и компетентность, обеспечивающие конкурентоспособность и профессиональную мобильность специалиста. Сегодня работодатель ставит довольно высокую планку для соискателей, в том числе и молодых специалистов. </w:t>
            </w:r>
            <w:r w:rsidRPr="00283F73">
              <w:rPr>
                <w:szCs w:val="28"/>
              </w:rPr>
              <w:br/>
              <w:t xml:space="preserve">У каждой компании или предприятия существуют свои требования для потенциального сотрудника, но практически везде это: наличие опыта работы, профессионализм, умение применять полученные теоретические знания </w:t>
            </w:r>
            <w:r w:rsidRPr="00283F73">
              <w:rPr>
                <w:szCs w:val="28"/>
              </w:rPr>
              <w:br/>
              <w:t xml:space="preserve">на практике, способность принимать решения. Одной из проблем является то, что многие выпускники вузов, получившие хорошую теоретическую основу в своем учебном заведении, не имеют практического опыта работы. Это вопрос не только какой-то отдельной специальности или же вуза, а общая проблема. </w:t>
            </w:r>
          </w:p>
          <w:p w:rsidR="00283F73" w:rsidRPr="00283F73" w:rsidRDefault="00283F73" w:rsidP="00283F73">
            <w:pPr>
              <w:ind w:firstLine="709"/>
              <w:contextualSpacing/>
              <w:jc w:val="both"/>
              <w:rPr>
                <w:szCs w:val="28"/>
              </w:rPr>
            </w:pPr>
          </w:p>
          <w:p w:rsidR="00CA4914" w:rsidRPr="00283F73" w:rsidRDefault="00CA4914" w:rsidP="00283F73">
            <w:pPr>
              <w:tabs>
                <w:tab w:val="left" w:pos="709"/>
              </w:tabs>
              <w:contextualSpacing/>
              <w:jc w:val="both"/>
              <w:rPr>
                <w:szCs w:val="28"/>
              </w:rPr>
            </w:pPr>
          </w:p>
        </w:tc>
      </w:tr>
      <w:tr w:rsidR="00283F73" w:rsidRPr="00283F73" w:rsidTr="00E66E18">
        <w:tc>
          <w:tcPr>
            <w:tcW w:w="9923" w:type="dxa"/>
            <w:tcBorders>
              <w:top w:val="single" w:sz="4" w:space="0" w:color="auto"/>
              <w:bottom w:val="single" w:sz="4" w:space="0" w:color="auto"/>
            </w:tcBorders>
          </w:tcPr>
          <w:p w:rsidR="00283F73" w:rsidRPr="00283F73" w:rsidRDefault="00283F73" w:rsidP="00283F73">
            <w:pPr>
              <w:ind w:firstLine="709"/>
              <w:contextualSpacing/>
              <w:jc w:val="both"/>
              <w:rPr>
                <w:b/>
                <w:i/>
                <w:szCs w:val="28"/>
              </w:rPr>
            </w:pPr>
            <w:r>
              <w:rPr>
                <w:b/>
                <w:i/>
                <w:szCs w:val="28"/>
              </w:rPr>
              <w:lastRenderedPageBreak/>
              <w:t xml:space="preserve">По вопросу </w:t>
            </w:r>
            <w:r w:rsidRPr="00283F73">
              <w:rPr>
                <w:b/>
                <w:i/>
                <w:szCs w:val="28"/>
              </w:rPr>
              <w:t xml:space="preserve"> </w:t>
            </w:r>
            <w:r>
              <w:rPr>
                <w:b/>
                <w:i/>
                <w:szCs w:val="28"/>
              </w:rPr>
              <w:t xml:space="preserve">осуществления учебной деятельности </w:t>
            </w:r>
            <w:r>
              <w:rPr>
                <w:b/>
                <w:i/>
                <w:szCs w:val="28"/>
              </w:rPr>
              <w:br/>
              <w:t xml:space="preserve">в </w:t>
            </w:r>
            <w:r w:rsidRPr="00283F73">
              <w:rPr>
                <w:b/>
                <w:i/>
                <w:szCs w:val="28"/>
              </w:rPr>
              <w:t>Печорско</w:t>
            </w:r>
            <w:r>
              <w:rPr>
                <w:b/>
                <w:i/>
                <w:szCs w:val="28"/>
              </w:rPr>
              <w:t>м</w:t>
            </w:r>
            <w:r w:rsidRPr="00283F73">
              <w:rPr>
                <w:b/>
                <w:i/>
                <w:szCs w:val="28"/>
              </w:rPr>
              <w:t xml:space="preserve"> </w:t>
            </w:r>
            <w:r>
              <w:rPr>
                <w:b/>
                <w:i/>
                <w:szCs w:val="28"/>
              </w:rPr>
              <w:t xml:space="preserve">речном </w:t>
            </w:r>
            <w:r w:rsidRPr="00283F73">
              <w:rPr>
                <w:b/>
                <w:i/>
                <w:szCs w:val="28"/>
              </w:rPr>
              <w:t>училищ</w:t>
            </w:r>
            <w:r>
              <w:rPr>
                <w:b/>
                <w:i/>
                <w:szCs w:val="28"/>
              </w:rPr>
              <w:t>е</w:t>
            </w:r>
          </w:p>
        </w:tc>
      </w:tr>
      <w:tr w:rsidR="00283F73" w:rsidRPr="00283F73" w:rsidTr="00E66E18">
        <w:tc>
          <w:tcPr>
            <w:tcW w:w="9923" w:type="dxa"/>
            <w:tcBorders>
              <w:top w:val="single" w:sz="4" w:space="0" w:color="auto"/>
              <w:bottom w:val="single" w:sz="4" w:space="0" w:color="auto"/>
            </w:tcBorders>
          </w:tcPr>
          <w:p w:rsidR="00283F73" w:rsidRPr="00283F73" w:rsidRDefault="00283F73" w:rsidP="00283F73">
            <w:pPr>
              <w:ind w:firstLine="709"/>
              <w:contextualSpacing/>
              <w:jc w:val="both"/>
              <w:rPr>
                <w:szCs w:val="28"/>
              </w:rPr>
            </w:pPr>
            <w:r w:rsidRPr="00283F73">
              <w:rPr>
                <w:szCs w:val="28"/>
              </w:rPr>
              <w:t>Федеральное агентство морского и речного транспорта по поручению рассмотрело коллективное обращение сотрудников Печорского речного училища - филиала ФГБОУ ВО «ГУМРФ имени адмирала С.О. Макарова» (далее–ПРУ) в адрес Председателя Комитета Государственной Думы Федерального Собрания Российской Федерации по региональной политике и проблемам Севера и Дальнего Востока Н.М. Харитонова по вопросу осуществления образовательной деятельности ПРУ и сообщает.</w:t>
            </w:r>
          </w:p>
          <w:p w:rsidR="00283F73" w:rsidRPr="00283F73" w:rsidRDefault="00283F73" w:rsidP="00283F73">
            <w:pPr>
              <w:ind w:firstLine="709"/>
              <w:contextualSpacing/>
              <w:jc w:val="both"/>
              <w:rPr>
                <w:szCs w:val="28"/>
              </w:rPr>
            </w:pPr>
            <w:r w:rsidRPr="00283F73">
              <w:rPr>
                <w:szCs w:val="28"/>
              </w:rPr>
              <w:t xml:space="preserve">Ранее Росморречфлотом были рассмотрены аналогичные обращения Правительства Республики Коми, главы муниципального района «Печора», депутатов Совета муниципального района «Печора», родительского комитета ПРУ, трудового коллектива ПРУ и другие. Ответ на аналогичное обращение трудового коллектива ПРУ направлен письмом Росморречфлота от 17.02. 2016 № АП-31/1430 в адрес </w:t>
            </w:r>
            <w:proofErr w:type="spellStart"/>
            <w:r w:rsidRPr="00283F73">
              <w:rPr>
                <w:szCs w:val="28"/>
              </w:rPr>
              <w:t>Попыль</w:t>
            </w:r>
            <w:proofErr w:type="spellEnd"/>
            <w:r w:rsidRPr="00283F73">
              <w:rPr>
                <w:szCs w:val="28"/>
              </w:rPr>
              <w:t xml:space="preserve"> Т.И.</w:t>
            </w:r>
          </w:p>
          <w:p w:rsidR="00283F73" w:rsidRPr="00283F73" w:rsidRDefault="00283F73" w:rsidP="00283F73">
            <w:pPr>
              <w:ind w:firstLine="709"/>
              <w:contextualSpacing/>
              <w:jc w:val="both"/>
              <w:rPr>
                <w:szCs w:val="28"/>
              </w:rPr>
            </w:pPr>
            <w:r w:rsidRPr="00283F73">
              <w:rPr>
                <w:szCs w:val="28"/>
              </w:rPr>
              <w:t>Позиция Росморречфлота по вопросу осуществления образовательной деятельности ПРУ, изложенная в ответах на указанные обращения, следующая.</w:t>
            </w:r>
          </w:p>
          <w:p w:rsidR="00283F73" w:rsidRPr="00283F73" w:rsidRDefault="00283F73" w:rsidP="00283F73">
            <w:pPr>
              <w:ind w:firstLine="709"/>
              <w:contextualSpacing/>
              <w:jc w:val="both"/>
              <w:rPr>
                <w:szCs w:val="28"/>
              </w:rPr>
            </w:pPr>
            <w:r w:rsidRPr="00283F73">
              <w:rPr>
                <w:szCs w:val="28"/>
              </w:rPr>
              <w:t xml:space="preserve">Росморречфлот заинтересован в подготовке квалифицированных кадров </w:t>
            </w:r>
            <w:r w:rsidRPr="00283F73">
              <w:rPr>
                <w:szCs w:val="28"/>
              </w:rPr>
              <w:br/>
              <w:t>для организаций и предприятий отрасли, особенно для регионов, где перевозки грузов морским и речным транспортом являются определяющими.</w:t>
            </w:r>
          </w:p>
          <w:p w:rsidR="00283F73" w:rsidRPr="00283F73" w:rsidRDefault="00283F73" w:rsidP="00283F73">
            <w:pPr>
              <w:ind w:firstLine="709"/>
              <w:contextualSpacing/>
              <w:jc w:val="both"/>
              <w:rPr>
                <w:szCs w:val="28"/>
              </w:rPr>
            </w:pPr>
            <w:r w:rsidRPr="00283F73">
              <w:rPr>
                <w:szCs w:val="28"/>
              </w:rPr>
              <w:t xml:space="preserve">Вопрос ликвидации образовательной деятельности в ПРУ в 2016 году Росморречфлотом не рассматривается. </w:t>
            </w:r>
          </w:p>
          <w:p w:rsidR="00283F73" w:rsidRPr="00283F73" w:rsidRDefault="00283F73" w:rsidP="00283F73">
            <w:pPr>
              <w:widowControl w:val="0"/>
              <w:autoSpaceDE w:val="0"/>
              <w:autoSpaceDN w:val="0"/>
              <w:adjustRightInd w:val="0"/>
              <w:ind w:firstLine="851"/>
              <w:contextualSpacing/>
              <w:jc w:val="both"/>
              <w:rPr>
                <w:szCs w:val="28"/>
              </w:rPr>
            </w:pPr>
            <w:r w:rsidRPr="00283F73">
              <w:rPr>
                <w:szCs w:val="28"/>
              </w:rPr>
              <w:t>Вместе с тем, существует ряд условий и причин, в том числе и объективных, по которым достижение требуемого уровня эффективности образовательной деятельности ПРУ на сегодняшний день вызывает сложность. В</w:t>
            </w:r>
            <w:r>
              <w:rPr>
                <w:szCs w:val="28"/>
              </w:rPr>
              <w:t xml:space="preserve"> </w:t>
            </w:r>
            <w:r w:rsidRPr="00283F73">
              <w:rPr>
                <w:szCs w:val="28"/>
              </w:rPr>
              <w:t>первую</w:t>
            </w:r>
            <w:r>
              <w:rPr>
                <w:szCs w:val="28"/>
              </w:rPr>
              <w:t xml:space="preserve"> </w:t>
            </w:r>
            <w:r w:rsidRPr="00283F73">
              <w:rPr>
                <w:szCs w:val="28"/>
              </w:rPr>
              <w:t>очередь это нестабильная демографическая ситуация в регионе, не позволяющая выполнить контрольные цифры приема (далее – КЦП), установленные</w:t>
            </w:r>
            <w:r>
              <w:rPr>
                <w:szCs w:val="28"/>
              </w:rPr>
              <w:t xml:space="preserve"> </w:t>
            </w:r>
            <w:proofErr w:type="spellStart"/>
            <w:r w:rsidRPr="00283F73">
              <w:rPr>
                <w:szCs w:val="28"/>
              </w:rPr>
              <w:t>Минобрнауки</w:t>
            </w:r>
            <w:proofErr w:type="spellEnd"/>
            <w:r>
              <w:rPr>
                <w:szCs w:val="28"/>
              </w:rPr>
              <w:t xml:space="preserve"> </w:t>
            </w:r>
            <w:r w:rsidRPr="00283F73">
              <w:rPr>
                <w:szCs w:val="28"/>
              </w:rPr>
              <w:t xml:space="preserve">России, а также слабый уровень общей подготовки абитуриентов, обуславливающий высокий процент отчислений по неуспеваемости. </w:t>
            </w:r>
          </w:p>
          <w:p w:rsidR="00283F73" w:rsidRPr="00283F73" w:rsidRDefault="00283F73" w:rsidP="00283F73">
            <w:pPr>
              <w:tabs>
                <w:tab w:val="left" w:pos="0"/>
              </w:tabs>
              <w:ind w:firstLine="709"/>
              <w:contextualSpacing/>
              <w:jc w:val="both"/>
              <w:rPr>
                <w:szCs w:val="28"/>
              </w:rPr>
            </w:pPr>
            <w:r w:rsidRPr="00283F73">
              <w:rPr>
                <w:szCs w:val="28"/>
              </w:rPr>
              <w:t>Анализ статистических данных подтверждает устойчивое снижение контингента обучающихся с 452 человек (258 очная форма обучения и 194 заочная форма обучения) в 2012/2013 учебном году до 364 человек (193 очная форма обучения и 171 заочная форма обучения) в 2015/2016 учебном году. При этом, если количество выпускников 2013 года составляло 44 % от поступивших на</w:t>
            </w:r>
            <w:r>
              <w:rPr>
                <w:szCs w:val="28"/>
              </w:rPr>
              <w:t xml:space="preserve"> </w:t>
            </w:r>
            <w:r w:rsidRPr="00283F73">
              <w:rPr>
                <w:szCs w:val="28"/>
              </w:rPr>
              <w:t>обучение в 2009 году, то количество выпускников в 2016 году составляет всего</w:t>
            </w:r>
            <w:r>
              <w:rPr>
                <w:szCs w:val="28"/>
              </w:rPr>
              <w:t xml:space="preserve"> </w:t>
            </w:r>
            <w:r w:rsidRPr="00283F73">
              <w:rPr>
                <w:szCs w:val="28"/>
              </w:rPr>
              <w:t xml:space="preserve">30% от поступивших в 2012 году.  </w:t>
            </w:r>
          </w:p>
          <w:p w:rsidR="00283F73" w:rsidRPr="00283F73" w:rsidRDefault="00283F73" w:rsidP="00283F73">
            <w:pPr>
              <w:tabs>
                <w:tab w:val="left" w:pos="0"/>
              </w:tabs>
              <w:ind w:firstLine="709"/>
              <w:contextualSpacing/>
              <w:jc w:val="both"/>
              <w:rPr>
                <w:szCs w:val="28"/>
              </w:rPr>
            </w:pPr>
            <w:r w:rsidRPr="00283F73">
              <w:rPr>
                <w:szCs w:val="28"/>
              </w:rPr>
              <w:t xml:space="preserve">Вследствие указанных причин формируются учебные группы с небольшим количеством обучающихся, что существенно снижает эффективность использования средств федерального бюджета на выполнение государственного задания. Ситуация усугубляется переходом на </w:t>
            </w:r>
            <w:proofErr w:type="spellStart"/>
            <w:r w:rsidRPr="00283F73">
              <w:rPr>
                <w:szCs w:val="28"/>
              </w:rPr>
              <w:t>нормативно-подушевое</w:t>
            </w:r>
            <w:proofErr w:type="spellEnd"/>
            <w:r w:rsidRPr="00283F73">
              <w:rPr>
                <w:szCs w:val="28"/>
              </w:rPr>
              <w:t xml:space="preserve"> финансирование. Новые правила финансирования устанавливают, что учебные заведения получают средства </w:t>
            </w:r>
            <w:r w:rsidRPr="00283F73">
              <w:rPr>
                <w:szCs w:val="28"/>
              </w:rPr>
              <w:br/>
              <w:t>из расчета утвержденного норматива стоимости обучения одного обучающегося, помноженного на их численность.</w:t>
            </w:r>
          </w:p>
          <w:p w:rsidR="00283F73" w:rsidRPr="00283F73" w:rsidRDefault="00283F73" w:rsidP="00283F73">
            <w:pPr>
              <w:tabs>
                <w:tab w:val="left" w:pos="0"/>
              </w:tabs>
              <w:ind w:firstLine="709"/>
              <w:contextualSpacing/>
              <w:jc w:val="both"/>
              <w:rPr>
                <w:szCs w:val="28"/>
              </w:rPr>
            </w:pPr>
            <w:r w:rsidRPr="00283F73">
              <w:rPr>
                <w:szCs w:val="28"/>
              </w:rPr>
              <w:t xml:space="preserve">Таким образом, уменьшение количества обучающихся автоматически </w:t>
            </w:r>
            <w:r w:rsidRPr="00283F73">
              <w:rPr>
                <w:szCs w:val="28"/>
              </w:rPr>
              <w:lastRenderedPageBreak/>
              <w:t>ведет к уменьшению объема финансирования.</w:t>
            </w:r>
          </w:p>
          <w:p w:rsidR="00283F73" w:rsidRPr="00283F73" w:rsidRDefault="00283F73" w:rsidP="00283F73">
            <w:pPr>
              <w:widowControl w:val="0"/>
              <w:autoSpaceDE w:val="0"/>
              <w:autoSpaceDN w:val="0"/>
              <w:adjustRightInd w:val="0"/>
              <w:ind w:firstLine="851"/>
              <w:contextualSpacing/>
              <w:jc w:val="both"/>
              <w:rPr>
                <w:szCs w:val="28"/>
              </w:rPr>
            </w:pPr>
            <w:r w:rsidRPr="00283F73">
              <w:rPr>
                <w:szCs w:val="28"/>
              </w:rPr>
              <w:t xml:space="preserve">Затраты фонда оплаты труда преподавателей неуклонно растут, в связи </w:t>
            </w:r>
            <w:r w:rsidRPr="00283F73">
              <w:rPr>
                <w:szCs w:val="28"/>
              </w:rPr>
              <w:br/>
              <w:t>с в</w:t>
            </w:r>
            <w:r w:rsidRPr="00283F73">
              <w:rPr>
                <w:rFonts w:eastAsiaTheme="minorHAnsi"/>
                <w:szCs w:val="28"/>
              </w:rPr>
              <w:t xml:space="preserve">ыполнением требований </w:t>
            </w:r>
            <w:r w:rsidRPr="00283F73">
              <w:rPr>
                <w:szCs w:val="28"/>
              </w:rPr>
              <w:t xml:space="preserve">Указа Президента Российской Федерации от 07.05.2012 </w:t>
            </w:r>
            <w:r w:rsidRPr="00283F73">
              <w:rPr>
                <w:szCs w:val="28"/>
              </w:rPr>
              <w:br/>
              <w:t xml:space="preserve">№ 597 «О мероприятиях по реализации государственной социальной политики», предусматривающих поэтапное повышение заработной платы преподавателей образовательных учреждений высшего профессионального образования и научных сотрудников до 100 процентов от средней заработной платы в соответствующем регионе к 2017 году. </w:t>
            </w:r>
          </w:p>
          <w:p w:rsidR="00283F73" w:rsidRPr="00283F73" w:rsidRDefault="00283F73" w:rsidP="00283F73">
            <w:pPr>
              <w:tabs>
                <w:tab w:val="left" w:pos="0"/>
              </w:tabs>
              <w:ind w:firstLine="709"/>
              <w:contextualSpacing/>
              <w:jc w:val="both"/>
              <w:rPr>
                <w:szCs w:val="28"/>
              </w:rPr>
            </w:pPr>
            <w:r w:rsidRPr="00283F73">
              <w:rPr>
                <w:szCs w:val="28"/>
              </w:rPr>
              <w:t xml:space="preserve">Расчет базового норматива, утвержденного </w:t>
            </w:r>
            <w:proofErr w:type="spellStart"/>
            <w:r w:rsidRPr="00283F73">
              <w:rPr>
                <w:szCs w:val="28"/>
              </w:rPr>
              <w:t>Минобрнауки</w:t>
            </w:r>
            <w:proofErr w:type="spellEnd"/>
            <w:r w:rsidRPr="00283F73">
              <w:rPr>
                <w:szCs w:val="28"/>
              </w:rPr>
              <w:t>, производится, в том числе, с учетом нормативных показателей, установленных Планом мероприятий («дорожная карта») изменения в отраслях социальной сферы, направленные на повышение эффективности образования и науки, утвержденного распоряжением Правительства Российской Федерации от 30.04.2014 № 722-р (далее – дорожная карта).</w:t>
            </w:r>
          </w:p>
          <w:p w:rsidR="00283F73" w:rsidRPr="00283F73" w:rsidRDefault="00283F73" w:rsidP="00283F73">
            <w:pPr>
              <w:tabs>
                <w:tab w:val="left" w:pos="0"/>
              </w:tabs>
              <w:ind w:firstLine="709"/>
              <w:contextualSpacing/>
              <w:jc w:val="both"/>
              <w:rPr>
                <w:szCs w:val="28"/>
              </w:rPr>
            </w:pPr>
            <w:r w:rsidRPr="00283F73">
              <w:rPr>
                <w:szCs w:val="28"/>
              </w:rPr>
              <w:t>Так, дорожной картой установлены следующие нормативные показатели для образовательных организаций, реализующих программы среднего профессионального образования:</w:t>
            </w:r>
          </w:p>
          <w:p w:rsidR="00283F73" w:rsidRPr="00283F73" w:rsidRDefault="00283F73" w:rsidP="00283F73">
            <w:pPr>
              <w:tabs>
                <w:tab w:val="left" w:pos="0"/>
              </w:tabs>
              <w:ind w:firstLine="709"/>
              <w:contextualSpacing/>
              <w:jc w:val="both"/>
              <w:rPr>
                <w:szCs w:val="28"/>
              </w:rPr>
            </w:pPr>
            <w:r w:rsidRPr="00283F73">
              <w:rPr>
                <w:szCs w:val="28"/>
              </w:rPr>
              <w:t>- численность обучающихся в расчете на 1 педагогического работника (включая мастеров производственного обучения) в 2015 году – 14,0 человек, в 2016 году 14,3 человек;</w:t>
            </w:r>
          </w:p>
          <w:p w:rsidR="00283F73" w:rsidRPr="00283F73" w:rsidRDefault="00283F73" w:rsidP="00283F73">
            <w:pPr>
              <w:pStyle w:val="ConsPlusNormal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3F73">
              <w:rPr>
                <w:rFonts w:ascii="Times New Roman" w:hAnsi="Times New Roman" w:cs="Times New Roman"/>
                <w:sz w:val="28"/>
                <w:szCs w:val="28"/>
              </w:rPr>
              <w:t>- доля работников административно-управленческого и вспомогательного персонала в общей численности работников образовательных организаций среднего профессионального образования  в 2015 году – 45,6 %, в 2016 году – 45,1 %.</w:t>
            </w:r>
          </w:p>
          <w:p w:rsidR="00283F73" w:rsidRPr="00283F73" w:rsidRDefault="00283F73" w:rsidP="00283F73">
            <w:pPr>
              <w:pStyle w:val="ConsPlusNormal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3F73">
              <w:rPr>
                <w:rFonts w:ascii="Times New Roman" w:hAnsi="Times New Roman" w:cs="Times New Roman"/>
                <w:sz w:val="28"/>
                <w:szCs w:val="28"/>
              </w:rPr>
              <w:t xml:space="preserve">С учетом того, что при расчете численности обучающихся для определения численности обучающихся по заочной форме </w:t>
            </w:r>
            <w:proofErr w:type="spellStart"/>
            <w:r w:rsidRPr="00283F73">
              <w:rPr>
                <w:rFonts w:ascii="Times New Roman" w:hAnsi="Times New Roman" w:cs="Times New Roman"/>
                <w:sz w:val="28"/>
                <w:szCs w:val="28"/>
              </w:rPr>
              <w:t>Минобрнауки</w:t>
            </w:r>
            <w:proofErr w:type="spellEnd"/>
            <w:r w:rsidRPr="00283F73">
              <w:rPr>
                <w:rFonts w:ascii="Times New Roman" w:hAnsi="Times New Roman" w:cs="Times New Roman"/>
                <w:sz w:val="28"/>
                <w:szCs w:val="28"/>
              </w:rPr>
              <w:t xml:space="preserve"> введен коэффициент 0,1, общий приведенный контингент ПРУ составляет 210,1 человек: 193 (очная форма обучения) + 17,1 (171х0,1 заочная форма обучения). Следовательно, бюджетные средства для оплаты труда сотрудников ПРУ выделяются в 2016 году из расчета нормативной численности преподавателей 14,69 ставок и работников административно-управленческого и вспомогательного персонала 12,06 ставок.</w:t>
            </w:r>
          </w:p>
          <w:p w:rsidR="00283F73" w:rsidRPr="00283F73" w:rsidRDefault="00283F73" w:rsidP="00283F73">
            <w:pPr>
              <w:pStyle w:val="ConsPlusNormal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3F73">
              <w:rPr>
                <w:rFonts w:ascii="Times New Roman" w:hAnsi="Times New Roman" w:cs="Times New Roman"/>
                <w:sz w:val="28"/>
                <w:szCs w:val="28"/>
              </w:rPr>
              <w:t>В качестве меры по достижению нормативных показателей дорожной картой предусмотрена оптимизация численности по отдельным категориям педагогических работников с учетом увеличения производительности труда и проводимых институциональных изменений.</w:t>
            </w:r>
          </w:p>
          <w:p w:rsidR="00283F73" w:rsidRPr="00283F73" w:rsidRDefault="00283F73" w:rsidP="00283F73">
            <w:pPr>
              <w:pStyle w:val="ConsPlusNormal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3F73">
              <w:rPr>
                <w:rFonts w:ascii="Times New Roman" w:hAnsi="Times New Roman" w:cs="Times New Roman"/>
                <w:sz w:val="28"/>
                <w:szCs w:val="28"/>
              </w:rPr>
              <w:t xml:space="preserve">К институциональным изменениям относится, в первую очередь, переход </w:t>
            </w:r>
            <w:r w:rsidRPr="00283F7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на эффективный контракт с педагогическими работниками образовательных организаций, предусмотренный государственной программой Российской Федерации «Развитие образования на 2013–2020 годы», утвержденной постановлением Правительства Российской Федерации от 15.04.2014 № 295. </w:t>
            </w:r>
          </w:p>
          <w:p w:rsidR="00283F73" w:rsidRPr="00283F73" w:rsidRDefault="00283F73" w:rsidP="00283F73">
            <w:pPr>
              <w:pStyle w:val="ConsPlusNormal"/>
              <w:ind w:firstLine="54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3F73">
              <w:rPr>
                <w:rFonts w:ascii="Times New Roman" w:hAnsi="Times New Roman" w:cs="Times New Roman"/>
                <w:sz w:val="28"/>
                <w:szCs w:val="28"/>
              </w:rPr>
              <w:t xml:space="preserve">Введение эффективного контракта в системе среднего профессионального образования включает в себя проведение аттестации педагогических работников образовательных организаций, реализующих программы среднего профессионального образования, с последующим их переводом на </w:t>
            </w:r>
            <w:r w:rsidRPr="00283F7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эффективный контракт, в котором конкретизированы трудовые обязанности педагогических работников, условия оплаты труда, показатели и критерии оценки эффективности для назначения стимулирующих выплат в зависимости от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83F73">
              <w:rPr>
                <w:rFonts w:ascii="Times New Roman" w:hAnsi="Times New Roman" w:cs="Times New Roman"/>
                <w:sz w:val="28"/>
                <w:szCs w:val="28"/>
              </w:rPr>
              <w:t>результатов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83F73">
              <w:rPr>
                <w:rFonts w:ascii="Times New Roman" w:hAnsi="Times New Roman" w:cs="Times New Roman"/>
                <w:sz w:val="28"/>
                <w:szCs w:val="28"/>
              </w:rPr>
              <w:t>труда и качества оказываемых государственных (муниципальных) услуг, а также меры социальной поддержки.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83F73">
              <w:rPr>
                <w:rFonts w:ascii="Times New Roman" w:hAnsi="Times New Roman" w:cs="Times New Roman"/>
                <w:sz w:val="28"/>
                <w:szCs w:val="28"/>
              </w:rPr>
              <w:t>Кроме затрат на фонд оплаты труда в базовый норматив включены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83F73">
              <w:rPr>
                <w:rFonts w:ascii="Times New Roman" w:hAnsi="Times New Roman" w:cs="Times New Roman"/>
                <w:sz w:val="28"/>
                <w:szCs w:val="28"/>
              </w:rPr>
              <w:t>затраты на общехозяйственные нужды (коммунальные платежи (частично),затраты на содержание имущества, связь, транспорт).</w:t>
            </w:r>
          </w:p>
          <w:p w:rsidR="00283F73" w:rsidRPr="00283F73" w:rsidRDefault="00283F73" w:rsidP="00283F73">
            <w:pPr>
              <w:widowControl w:val="0"/>
              <w:autoSpaceDE w:val="0"/>
              <w:autoSpaceDN w:val="0"/>
              <w:adjustRightInd w:val="0"/>
              <w:ind w:firstLine="851"/>
              <w:contextualSpacing/>
              <w:jc w:val="both"/>
              <w:rPr>
                <w:szCs w:val="28"/>
              </w:rPr>
            </w:pPr>
            <w:r w:rsidRPr="00283F73">
              <w:rPr>
                <w:szCs w:val="28"/>
              </w:rPr>
              <w:t>Объем учебных и жилых площадей, входящих в состав имущественного комплекса ПРУ, является избыточным для существующего контингента обучающихся. При наличии 360 мест для проживания в общежитии в 2015/2016 учебном году проживает всего 50 человек. При этом затраты на содержание имущественного комплекса ежегодно увеличиваются, в том числе за счет роста тарифов на коммунальные услуги.</w:t>
            </w:r>
          </w:p>
          <w:p w:rsidR="00283F73" w:rsidRPr="00283F73" w:rsidRDefault="00283F73" w:rsidP="00283F73">
            <w:pPr>
              <w:tabs>
                <w:tab w:val="left" w:pos="0"/>
              </w:tabs>
              <w:ind w:firstLine="709"/>
              <w:contextualSpacing/>
              <w:jc w:val="both"/>
              <w:rPr>
                <w:szCs w:val="28"/>
              </w:rPr>
            </w:pPr>
            <w:r w:rsidRPr="00283F73">
              <w:rPr>
                <w:szCs w:val="28"/>
              </w:rPr>
              <w:t>Учитывая, что нынешние здания</w:t>
            </w:r>
            <w:r w:rsidRPr="00283F73">
              <w:rPr>
                <w:rStyle w:val="Bodytext3"/>
              </w:rPr>
              <w:t xml:space="preserve"> </w:t>
            </w:r>
            <w:r w:rsidRPr="00283F73">
              <w:rPr>
                <w:szCs w:val="28"/>
              </w:rPr>
              <w:t>учебного корпуса и общежития ПРУ были введены в эксплуатацию в 1961 - 1966 годах, их техническое состояние требует ремонта и модернизации.</w:t>
            </w:r>
          </w:p>
          <w:p w:rsidR="00283F73" w:rsidRPr="00283F73" w:rsidRDefault="00283F73" w:rsidP="00283F73">
            <w:pPr>
              <w:ind w:firstLine="709"/>
              <w:contextualSpacing/>
              <w:jc w:val="both"/>
              <w:rPr>
                <w:szCs w:val="28"/>
              </w:rPr>
            </w:pPr>
            <w:r w:rsidRPr="00283F73">
              <w:rPr>
                <w:szCs w:val="28"/>
              </w:rPr>
              <w:t xml:space="preserve">Финансовые средства за счет приносящей доход деятельности, позволяющие в полном объеме решить указанные вопросы, в ПРУ и головном вузе отсутствуют. </w:t>
            </w:r>
          </w:p>
          <w:p w:rsidR="00283F73" w:rsidRPr="00283F73" w:rsidRDefault="00283F73" w:rsidP="00283F73">
            <w:pPr>
              <w:ind w:firstLine="709"/>
              <w:contextualSpacing/>
              <w:jc w:val="both"/>
              <w:rPr>
                <w:szCs w:val="28"/>
              </w:rPr>
            </w:pPr>
            <w:r w:rsidRPr="00283F73">
              <w:rPr>
                <w:szCs w:val="28"/>
              </w:rPr>
              <w:t xml:space="preserve">Передача напрямую филиала образовательной организации в ведение другого учредителя законодательством Российской Федерации не предусмотрена. </w:t>
            </w:r>
            <w:r w:rsidRPr="00283F73">
              <w:rPr>
                <w:szCs w:val="28"/>
              </w:rPr>
              <w:br/>
              <w:t>К компетенции учредителя относятся только процедуры создания и ликвидации филиала образовательной организации. Поэтому смена учредителя может быть произведена только путем ликвидации филиала образовательной организации действующим учредителем с передачей закрепленного за образовательной организацией имущества в федеральное казначейство, с последующим закреплением указанного имущества за новым учредителем и созданием на его базе новой образовательной организации (филиала). Также обращаем Ваше внимание на то, что порядок и нормативы бюджетного финансирования образовательных организаций установлены законодательно и не зависят от подведомственности образовательной организации, следовательно, решить существующие</w:t>
            </w:r>
            <w:r>
              <w:rPr>
                <w:szCs w:val="28"/>
              </w:rPr>
              <w:t xml:space="preserve"> </w:t>
            </w:r>
            <w:r w:rsidRPr="00283F73">
              <w:rPr>
                <w:szCs w:val="28"/>
              </w:rPr>
              <w:t>проблемы за счет бюджетных средств без повышения эффективности деятельности образовательной организации не представляется возможным при любой подведомственности ПРУ. Оказание региональными и муниципальными</w:t>
            </w:r>
            <w:r>
              <w:rPr>
                <w:szCs w:val="28"/>
              </w:rPr>
              <w:t xml:space="preserve"> в</w:t>
            </w:r>
            <w:r w:rsidRPr="00283F73">
              <w:rPr>
                <w:szCs w:val="28"/>
              </w:rPr>
              <w:t xml:space="preserve">ластями, </w:t>
            </w:r>
            <w:r>
              <w:rPr>
                <w:szCs w:val="28"/>
              </w:rPr>
              <w:t xml:space="preserve"> </w:t>
            </w:r>
            <w:r w:rsidRPr="00283F73">
              <w:rPr>
                <w:szCs w:val="28"/>
              </w:rPr>
              <w:t>а также предприятиями и организациями, заинтересованными</w:t>
            </w:r>
            <w:r>
              <w:rPr>
                <w:szCs w:val="28"/>
              </w:rPr>
              <w:t xml:space="preserve"> </w:t>
            </w:r>
            <w:r w:rsidRPr="00283F73">
              <w:rPr>
                <w:szCs w:val="28"/>
              </w:rPr>
              <w:t>в</w:t>
            </w:r>
            <w:r>
              <w:rPr>
                <w:szCs w:val="28"/>
              </w:rPr>
              <w:t xml:space="preserve"> </w:t>
            </w:r>
            <w:r w:rsidRPr="00283F73">
              <w:rPr>
                <w:szCs w:val="28"/>
              </w:rPr>
              <w:t xml:space="preserve">сохранении и развитии ПРУ, финансовой помощи для решения проблемных вопросов деятельности ПРУ также определяется не подведомственностью образовательной организации, а исключительно желанием и возможностями спонсоров. </w:t>
            </w:r>
          </w:p>
          <w:p w:rsidR="00283F73" w:rsidRPr="00283F73" w:rsidRDefault="00283F73" w:rsidP="00283F73">
            <w:pPr>
              <w:ind w:firstLine="709"/>
              <w:contextualSpacing/>
              <w:jc w:val="both"/>
              <w:rPr>
                <w:szCs w:val="28"/>
              </w:rPr>
            </w:pPr>
            <w:r w:rsidRPr="00283F73">
              <w:rPr>
                <w:szCs w:val="28"/>
              </w:rPr>
              <w:t>Учитывая изложенное, вопрос о мерах по повышению эффективности ПРУ является актуальным и неотложным. Для его решения требуется консолидация усилий всех заинтересованных сторон.</w:t>
            </w:r>
          </w:p>
          <w:p w:rsidR="00283F73" w:rsidRPr="00283F73" w:rsidRDefault="00283F73" w:rsidP="00283F73">
            <w:pPr>
              <w:ind w:firstLine="709"/>
              <w:contextualSpacing/>
              <w:jc w:val="both"/>
              <w:rPr>
                <w:szCs w:val="28"/>
              </w:rPr>
            </w:pPr>
            <w:r w:rsidRPr="00283F73">
              <w:rPr>
                <w:szCs w:val="28"/>
              </w:rPr>
              <w:t xml:space="preserve">Федеральное агентство морского и речного транспорта, разделяя озабоченность сотрудников ПРУ, в вопросе продолжения образовательной </w:t>
            </w:r>
            <w:r w:rsidRPr="00283F73">
              <w:rPr>
                <w:szCs w:val="28"/>
              </w:rPr>
              <w:lastRenderedPageBreak/>
              <w:t>деятельности предлагает трудовому коллективу оказать содействие Росморречфлоту в решении следующих вопросов:</w:t>
            </w:r>
          </w:p>
          <w:p w:rsidR="00283F73" w:rsidRPr="00283F73" w:rsidRDefault="00283F73" w:rsidP="00283F73">
            <w:pPr>
              <w:ind w:firstLine="709"/>
              <w:contextualSpacing/>
              <w:jc w:val="both"/>
              <w:rPr>
                <w:szCs w:val="28"/>
              </w:rPr>
            </w:pPr>
            <w:r w:rsidRPr="00283F73">
              <w:rPr>
                <w:szCs w:val="28"/>
              </w:rPr>
              <w:t>- разработке предложений по оптимизации численности педагогических работников и работников административно-управленческого и вспомогательного персонала с целью достижения нормативных показателей, определенных дорожной картой;</w:t>
            </w:r>
          </w:p>
          <w:p w:rsidR="00283F73" w:rsidRPr="00283F73" w:rsidRDefault="00283F73" w:rsidP="00283F73">
            <w:pPr>
              <w:ind w:firstLine="709"/>
              <w:contextualSpacing/>
              <w:jc w:val="both"/>
              <w:rPr>
                <w:szCs w:val="28"/>
              </w:rPr>
            </w:pPr>
            <w:r w:rsidRPr="00283F73">
              <w:rPr>
                <w:szCs w:val="28"/>
              </w:rPr>
              <w:t xml:space="preserve">- разработке и реализации комплекса мер, направленных </w:t>
            </w:r>
            <w:r w:rsidRPr="00283F73">
              <w:rPr>
                <w:szCs w:val="28"/>
              </w:rPr>
              <w:br/>
              <w:t xml:space="preserve">на совершенствование профессиональной ориентации обучающихся </w:t>
            </w:r>
            <w:r w:rsidRPr="00283F73">
              <w:rPr>
                <w:szCs w:val="28"/>
              </w:rPr>
              <w:br/>
              <w:t xml:space="preserve">в общеобразовательных организациях г. Печоры, Республики Коми, соседних регионов в целях выполнения контрольных цифр приема, установленных </w:t>
            </w:r>
            <w:proofErr w:type="spellStart"/>
            <w:r w:rsidRPr="00283F73">
              <w:rPr>
                <w:szCs w:val="28"/>
              </w:rPr>
              <w:t>Минобрнауки</w:t>
            </w:r>
            <w:proofErr w:type="spellEnd"/>
            <w:r w:rsidRPr="00283F73">
              <w:rPr>
                <w:szCs w:val="28"/>
              </w:rPr>
              <w:t xml:space="preserve"> России и увеличения контингента обучающихся;</w:t>
            </w:r>
          </w:p>
          <w:p w:rsidR="00283F73" w:rsidRPr="00283F73" w:rsidRDefault="00283F73" w:rsidP="00283F73">
            <w:pPr>
              <w:ind w:firstLine="709"/>
              <w:contextualSpacing/>
              <w:jc w:val="both"/>
              <w:rPr>
                <w:szCs w:val="28"/>
              </w:rPr>
            </w:pPr>
            <w:r w:rsidRPr="00283F73">
              <w:rPr>
                <w:szCs w:val="28"/>
              </w:rPr>
              <w:t>- индивидуальной работе с обучающимися, имеющими слабую общую подготовку, в целях сокращения количества отчислений по неуспеваемости;</w:t>
            </w:r>
          </w:p>
          <w:p w:rsidR="00283F73" w:rsidRPr="00283F73" w:rsidRDefault="00283F73" w:rsidP="00283F73">
            <w:pPr>
              <w:pStyle w:val="ConsPlusNormal"/>
              <w:ind w:firstLine="54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3F73">
              <w:rPr>
                <w:rFonts w:ascii="Times New Roman" w:hAnsi="Times New Roman" w:cs="Times New Roman"/>
                <w:sz w:val="28"/>
                <w:szCs w:val="28"/>
              </w:rPr>
              <w:t>- налаживание взаимодействия с потенциальными работодателями выпускников для обеспечения трудоустройства 100 % выпускников по полученной специальности.</w:t>
            </w:r>
          </w:p>
          <w:p w:rsidR="00283F73" w:rsidRPr="00283F73" w:rsidRDefault="00283F73" w:rsidP="00283F73">
            <w:pPr>
              <w:ind w:firstLine="709"/>
              <w:contextualSpacing/>
              <w:jc w:val="both"/>
              <w:rPr>
                <w:szCs w:val="28"/>
              </w:rPr>
            </w:pPr>
          </w:p>
          <w:p w:rsidR="00283F73" w:rsidRPr="00283F73" w:rsidRDefault="00283F73" w:rsidP="00283F73">
            <w:pPr>
              <w:ind w:firstLine="709"/>
              <w:contextualSpacing/>
              <w:jc w:val="both"/>
              <w:rPr>
                <w:szCs w:val="28"/>
              </w:rPr>
            </w:pPr>
          </w:p>
        </w:tc>
      </w:tr>
    </w:tbl>
    <w:p w:rsidR="00E968E5" w:rsidRPr="00283F73" w:rsidRDefault="00E968E5" w:rsidP="00283F73">
      <w:pPr>
        <w:pStyle w:val="1"/>
        <w:tabs>
          <w:tab w:val="left" w:pos="1134"/>
        </w:tabs>
        <w:ind w:left="426" w:right="498" w:firstLine="283"/>
        <w:rPr>
          <w:sz w:val="28"/>
          <w:szCs w:val="28"/>
        </w:rPr>
      </w:pPr>
    </w:p>
    <w:p w:rsidR="007606C2" w:rsidRPr="00283F73" w:rsidRDefault="007606C2" w:rsidP="00283F73">
      <w:pPr>
        <w:pStyle w:val="1"/>
        <w:tabs>
          <w:tab w:val="left" w:pos="1134"/>
        </w:tabs>
        <w:ind w:left="426" w:right="498" w:firstLine="283"/>
        <w:rPr>
          <w:sz w:val="28"/>
          <w:szCs w:val="28"/>
        </w:rPr>
      </w:pPr>
    </w:p>
    <w:p w:rsidR="007606C2" w:rsidRPr="00283F73" w:rsidRDefault="007606C2" w:rsidP="00283F73">
      <w:pPr>
        <w:pStyle w:val="1"/>
        <w:tabs>
          <w:tab w:val="left" w:pos="1134"/>
        </w:tabs>
        <w:ind w:left="426" w:right="498" w:firstLine="283"/>
        <w:rPr>
          <w:sz w:val="28"/>
          <w:szCs w:val="28"/>
        </w:rPr>
      </w:pPr>
    </w:p>
    <w:p w:rsidR="00E45A21" w:rsidRPr="00283F73" w:rsidRDefault="00E45A21" w:rsidP="00283F73">
      <w:pPr>
        <w:pStyle w:val="1"/>
        <w:ind w:left="426" w:right="498" w:firstLine="283"/>
        <w:rPr>
          <w:sz w:val="28"/>
          <w:szCs w:val="28"/>
        </w:rPr>
      </w:pPr>
    </w:p>
    <w:sectPr w:rsidR="00E45A21" w:rsidRPr="00283F73" w:rsidSect="002139D4">
      <w:headerReference w:type="default" r:id="rId8"/>
      <w:pgSz w:w="11906" w:h="16838"/>
      <w:pgMar w:top="993" w:right="635" w:bottom="709" w:left="1134" w:header="510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1019" w:rsidRDefault="00CB1019" w:rsidP="00C62B4D">
      <w:r>
        <w:separator/>
      </w:r>
    </w:p>
  </w:endnote>
  <w:endnote w:type="continuationSeparator" w:id="0">
    <w:p w:rsidR="00CB1019" w:rsidRDefault="00CB1019" w:rsidP="00C62B4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plified Arabic Fixed">
    <w:panose1 w:val="02070309020205020404"/>
    <w:charset w:val="00"/>
    <w:family w:val="modern"/>
    <w:pitch w:val="fixed"/>
    <w:sig w:usb0="00002003" w:usb1="00000000" w:usb2="00000000" w:usb3="00000000" w:csb0="0000004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1019" w:rsidRDefault="00CB1019" w:rsidP="00C62B4D">
      <w:r>
        <w:separator/>
      </w:r>
    </w:p>
  </w:footnote>
  <w:footnote w:type="continuationSeparator" w:id="0">
    <w:p w:rsidR="00CB1019" w:rsidRDefault="00CB1019" w:rsidP="00C62B4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258F" w:rsidRDefault="00CD6363">
    <w:pPr>
      <w:pStyle w:val="a3"/>
      <w:jc w:val="center"/>
    </w:pPr>
    <w:fldSimple w:instr="PAGE   \* MERGEFORMAT">
      <w:r w:rsidR="00283F73">
        <w:rPr>
          <w:noProof/>
        </w:rPr>
        <w:t>7</w:t>
      </w:r>
    </w:fldSimple>
  </w:p>
  <w:p w:rsidR="000C258F" w:rsidRDefault="000C258F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FC450B"/>
    <w:multiLevelType w:val="hybridMultilevel"/>
    <w:tmpl w:val="4AEE19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B00DC2"/>
    <w:multiLevelType w:val="hybridMultilevel"/>
    <w:tmpl w:val="614ADAD8"/>
    <w:lvl w:ilvl="0" w:tplc="C3E8404C">
      <w:start w:val="1"/>
      <w:numFmt w:val="bullet"/>
      <w:lvlText w:val="-"/>
      <w:lvlJc w:val="left"/>
      <w:pPr>
        <w:ind w:left="1429" w:hanging="360"/>
      </w:pPr>
      <w:rPr>
        <w:rFonts w:ascii="Simplified Arabic Fixed" w:hAnsi="Simplified Arabic Fixed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7CD12871"/>
    <w:multiLevelType w:val="hybridMultilevel"/>
    <w:tmpl w:val="84F64066"/>
    <w:lvl w:ilvl="0" w:tplc="11AC765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40058"/>
    <w:rsid w:val="00001FAB"/>
    <w:rsid w:val="00017D6D"/>
    <w:rsid w:val="00045A4B"/>
    <w:rsid w:val="00050BA8"/>
    <w:rsid w:val="0006051A"/>
    <w:rsid w:val="00076817"/>
    <w:rsid w:val="0008145F"/>
    <w:rsid w:val="00090910"/>
    <w:rsid w:val="000B3E1A"/>
    <w:rsid w:val="000C258F"/>
    <w:rsid w:val="000D2330"/>
    <w:rsid w:val="000D6332"/>
    <w:rsid w:val="000E4131"/>
    <w:rsid w:val="0012033D"/>
    <w:rsid w:val="0012794C"/>
    <w:rsid w:val="0013339C"/>
    <w:rsid w:val="00134DB5"/>
    <w:rsid w:val="00135204"/>
    <w:rsid w:val="00154C7A"/>
    <w:rsid w:val="00167517"/>
    <w:rsid w:val="00197810"/>
    <w:rsid w:val="001A051C"/>
    <w:rsid w:val="001A40F9"/>
    <w:rsid w:val="001A7859"/>
    <w:rsid w:val="001C1CDC"/>
    <w:rsid w:val="001C3514"/>
    <w:rsid w:val="001E042B"/>
    <w:rsid w:val="001E2098"/>
    <w:rsid w:val="001E3AB2"/>
    <w:rsid w:val="001E581C"/>
    <w:rsid w:val="001F4604"/>
    <w:rsid w:val="00206739"/>
    <w:rsid w:val="002109B0"/>
    <w:rsid w:val="002126AC"/>
    <w:rsid w:val="002139D4"/>
    <w:rsid w:val="0022001B"/>
    <w:rsid w:val="002749A4"/>
    <w:rsid w:val="00283F73"/>
    <w:rsid w:val="002922E2"/>
    <w:rsid w:val="0030255F"/>
    <w:rsid w:val="00310752"/>
    <w:rsid w:val="003121D1"/>
    <w:rsid w:val="00334612"/>
    <w:rsid w:val="00341AF1"/>
    <w:rsid w:val="003574DE"/>
    <w:rsid w:val="003C2727"/>
    <w:rsid w:val="003E479C"/>
    <w:rsid w:val="003F281D"/>
    <w:rsid w:val="003F41D5"/>
    <w:rsid w:val="003F4EA7"/>
    <w:rsid w:val="00413FDE"/>
    <w:rsid w:val="00414A79"/>
    <w:rsid w:val="00415C40"/>
    <w:rsid w:val="0042527B"/>
    <w:rsid w:val="00431FD0"/>
    <w:rsid w:val="00450567"/>
    <w:rsid w:val="00473ABD"/>
    <w:rsid w:val="00497B1E"/>
    <w:rsid w:val="004A29DC"/>
    <w:rsid w:val="004B71F4"/>
    <w:rsid w:val="004C7CAC"/>
    <w:rsid w:val="00501895"/>
    <w:rsid w:val="00505897"/>
    <w:rsid w:val="0051587F"/>
    <w:rsid w:val="0053622F"/>
    <w:rsid w:val="00540058"/>
    <w:rsid w:val="00577110"/>
    <w:rsid w:val="005A6107"/>
    <w:rsid w:val="005B7656"/>
    <w:rsid w:val="005E7DA8"/>
    <w:rsid w:val="005F2BD1"/>
    <w:rsid w:val="005F2E81"/>
    <w:rsid w:val="00637C80"/>
    <w:rsid w:val="0065437B"/>
    <w:rsid w:val="006A0C95"/>
    <w:rsid w:val="006B2E64"/>
    <w:rsid w:val="006E25FF"/>
    <w:rsid w:val="00702D96"/>
    <w:rsid w:val="00704F59"/>
    <w:rsid w:val="007406C8"/>
    <w:rsid w:val="00742BD2"/>
    <w:rsid w:val="007606C2"/>
    <w:rsid w:val="00795E33"/>
    <w:rsid w:val="007B21E1"/>
    <w:rsid w:val="007B7F8D"/>
    <w:rsid w:val="007E281A"/>
    <w:rsid w:val="007F0D71"/>
    <w:rsid w:val="007F3D56"/>
    <w:rsid w:val="00802FFB"/>
    <w:rsid w:val="008138F3"/>
    <w:rsid w:val="00816682"/>
    <w:rsid w:val="00821DCF"/>
    <w:rsid w:val="008279B5"/>
    <w:rsid w:val="00827C9A"/>
    <w:rsid w:val="00843996"/>
    <w:rsid w:val="00851A78"/>
    <w:rsid w:val="00862B2E"/>
    <w:rsid w:val="0087767C"/>
    <w:rsid w:val="0088138C"/>
    <w:rsid w:val="00891596"/>
    <w:rsid w:val="008A0BD7"/>
    <w:rsid w:val="008C2171"/>
    <w:rsid w:val="00920CF8"/>
    <w:rsid w:val="00935DCF"/>
    <w:rsid w:val="00937DDF"/>
    <w:rsid w:val="0096302F"/>
    <w:rsid w:val="00970CB9"/>
    <w:rsid w:val="009736EB"/>
    <w:rsid w:val="00974802"/>
    <w:rsid w:val="0097643C"/>
    <w:rsid w:val="00986710"/>
    <w:rsid w:val="009C0CF6"/>
    <w:rsid w:val="009F411A"/>
    <w:rsid w:val="00A021BA"/>
    <w:rsid w:val="00A158F2"/>
    <w:rsid w:val="00A23D0B"/>
    <w:rsid w:val="00A317D5"/>
    <w:rsid w:val="00A535FF"/>
    <w:rsid w:val="00A8044D"/>
    <w:rsid w:val="00A825CB"/>
    <w:rsid w:val="00A939E3"/>
    <w:rsid w:val="00AA3B93"/>
    <w:rsid w:val="00AF76D8"/>
    <w:rsid w:val="00B046F9"/>
    <w:rsid w:val="00B14DEB"/>
    <w:rsid w:val="00B15C0C"/>
    <w:rsid w:val="00B171AA"/>
    <w:rsid w:val="00B23042"/>
    <w:rsid w:val="00B4326B"/>
    <w:rsid w:val="00B92F35"/>
    <w:rsid w:val="00B949CC"/>
    <w:rsid w:val="00B97489"/>
    <w:rsid w:val="00BB635B"/>
    <w:rsid w:val="00BC2A5C"/>
    <w:rsid w:val="00BC7C7E"/>
    <w:rsid w:val="00BF6152"/>
    <w:rsid w:val="00C03B35"/>
    <w:rsid w:val="00C11A7A"/>
    <w:rsid w:val="00C15596"/>
    <w:rsid w:val="00C3527C"/>
    <w:rsid w:val="00C62B4D"/>
    <w:rsid w:val="00C75BBF"/>
    <w:rsid w:val="00C774C3"/>
    <w:rsid w:val="00C80ED4"/>
    <w:rsid w:val="00CA4914"/>
    <w:rsid w:val="00CA7740"/>
    <w:rsid w:val="00CB1019"/>
    <w:rsid w:val="00CC7CD0"/>
    <w:rsid w:val="00CD2DD6"/>
    <w:rsid w:val="00CD6363"/>
    <w:rsid w:val="00CD6BF0"/>
    <w:rsid w:val="00CF0FEC"/>
    <w:rsid w:val="00D20EAC"/>
    <w:rsid w:val="00D30B46"/>
    <w:rsid w:val="00D41992"/>
    <w:rsid w:val="00D474A9"/>
    <w:rsid w:val="00D47AF6"/>
    <w:rsid w:val="00D54733"/>
    <w:rsid w:val="00D55D38"/>
    <w:rsid w:val="00D657D0"/>
    <w:rsid w:val="00D72E93"/>
    <w:rsid w:val="00D820D9"/>
    <w:rsid w:val="00D87C4E"/>
    <w:rsid w:val="00D9797F"/>
    <w:rsid w:val="00DB3CB9"/>
    <w:rsid w:val="00DC3E10"/>
    <w:rsid w:val="00DD2BD4"/>
    <w:rsid w:val="00DF11DA"/>
    <w:rsid w:val="00E0154B"/>
    <w:rsid w:val="00E05E49"/>
    <w:rsid w:val="00E27908"/>
    <w:rsid w:val="00E36345"/>
    <w:rsid w:val="00E45A21"/>
    <w:rsid w:val="00E476BE"/>
    <w:rsid w:val="00E829B1"/>
    <w:rsid w:val="00E92F17"/>
    <w:rsid w:val="00E968E5"/>
    <w:rsid w:val="00ED3D42"/>
    <w:rsid w:val="00EF776B"/>
    <w:rsid w:val="00F170A3"/>
    <w:rsid w:val="00F37C18"/>
    <w:rsid w:val="00F43696"/>
    <w:rsid w:val="00F501DA"/>
    <w:rsid w:val="00F65848"/>
    <w:rsid w:val="00F90144"/>
    <w:rsid w:val="00FA613D"/>
    <w:rsid w:val="00FB27E5"/>
    <w:rsid w:val="00FB554B"/>
    <w:rsid w:val="00FD2050"/>
    <w:rsid w:val="00FD6F3C"/>
    <w:rsid w:val="00FE48D1"/>
    <w:rsid w:val="00FF73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header" w:locked="1"/>
    <w:lsdException w:name="caption" w:locked="1" w:semiHidden="1" w:unhideWhenUsed="1" w:qFormat="1"/>
    <w:lsdException w:name="List Number" w:locked="1"/>
    <w:lsdException w:name="List 4" w:locked="1"/>
    <w:lsdException w:name="List 5" w:locked="1"/>
    <w:lsdException w:name="Title" w:locked="1" w:qFormat="1"/>
    <w:lsdException w:name="Subtitle" w:locked="1" w:qFormat="1"/>
    <w:lsdException w:name="Salutation" w:locked="1"/>
    <w:lsdException w:name="Date" w:locked="1"/>
    <w:lsdException w:name="Body Text First Indent" w:locked="1"/>
    <w:lsdException w:name="Strong" w:locked="1" w:qFormat="1"/>
    <w:lsdException w:name="Emphasis" w:locked="1" w:qFormat="1"/>
    <w:lsdException w:name="HTML Top of Form" w:locked="1"/>
    <w:lsdException w:name="HTML Bottom of Form" w:locked="1"/>
    <w:lsdException w:name="Normal Table" w:lock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1587F"/>
    <w:rPr>
      <w:sz w:val="28"/>
      <w:lang w:eastAsia="en-US"/>
    </w:rPr>
  </w:style>
  <w:style w:type="paragraph" w:styleId="4">
    <w:name w:val="heading 4"/>
    <w:basedOn w:val="a"/>
    <w:next w:val="a"/>
    <w:link w:val="40"/>
    <w:qFormat/>
    <w:rsid w:val="0051587F"/>
    <w:pPr>
      <w:keepNext/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a"/>
    <w:link w:val="50"/>
    <w:qFormat/>
    <w:rsid w:val="0051587F"/>
    <w:pPr>
      <w:keepNext/>
      <w:widowControl w:val="0"/>
      <w:ind w:right="-517"/>
      <w:jc w:val="both"/>
      <w:outlineLvl w:val="4"/>
    </w:pPr>
    <w:rPr>
      <w:b/>
      <w:bCs/>
    </w:rPr>
  </w:style>
  <w:style w:type="paragraph" w:styleId="6">
    <w:name w:val="heading 6"/>
    <w:basedOn w:val="a"/>
    <w:next w:val="a"/>
    <w:link w:val="60"/>
    <w:qFormat/>
    <w:rsid w:val="0051587F"/>
    <w:pPr>
      <w:keepNext/>
      <w:widowControl w:val="0"/>
      <w:ind w:right="-517"/>
      <w:jc w:val="both"/>
      <w:outlineLvl w:val="5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locked/>
    <w:rsid w:val="0051587F"/>
    <w:rPr>
      <w:rFonts w:ascii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locked/>
    <w:rsid w:val="0051587F"/>
    <w:rPr>
      <w:rFonts w:ascii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locked/>
    <w:rsid w:val="0051587F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3">
    <w:name w:val="header"/>
    <w:basedOn w:val="a"/>
    <w:link w:val="a4"/>
    <w:rsid w:val="0051587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locked/>
    <w:rsid w:val="0051587F"/>
    <w:rPr>
      <w:rFonts w:ascii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51587F"/>
    <w:rPr>
      <w:rFonts w:cs="Times New Roman"/>
    </w:rPr>
  </w:style>
  <w:style w:type="paragraph" w:styleId="a6">
    <w:name w:val="Body Text Indent"/>
    <w:basedOn w:val="a"/>
    <w:link w:val="a7"/>
    <w:rsid w:val="0051587F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locked/>
    <w:rsid w:val="0051587F"/>
    <w:rPr>
      <w:rFonts w:ascii="Times New Roman" w:hAnsi="Times New Roman" w:cs="Times New Roman"/>
      <w:sz w:val="20"/>
      <w:szCs w:val="20"/>
      <w:lang w:eastAsia="ru-RU"/>
    </w:rPr>
  </w:style>
  <w:style w:type="paragraph" w:styleId="3">
    <w:name w:val="Body Text 3"/>
    <w:basedOn w:val="a"/>
    <w:link w:val="30"/>
    <w:rsid w:val="0051587F"/>
    <w:pPr>
      <w:widowControl w:val="0"/>
      <w:ind w:right="-517"/>
      <w:jc w:val="both"/>
    </w:pPr>
    <w:rPr>
      <w:b/>
      <w:bCs/>
    </w:rPr>
  </w:style>
  <w:style w:type="character" w:customStyle="1" w:styleId="30">
    <w:name w:val="Основной текст 3 Знак"/>
    <w:basedOn w:val="a0"/>
    <w:link w:val="3"/>
    <w:locked/>
    <w:rsid w:val="0051587F"/>
    <w:rPr>
      <w:rFonts w:ascii="Times New Roman" w:hAnsi="Times New Roman" w:cs="Times New Roman"/>
      <w:b/>
      <w:bCs/>
      <w:sz w:val="28"/>
      <w:szCs w:val="28"/>
      <w:lang w:eastAsia="ru-RU"/>
    </w:rPr>
  </w:style>
  <w:style w:type="table" w:styleId="a8">
    <w:name w:val="Table Grid"/>
    <w:basedOn w:val="a1"/>
    <w:rsid w:val="0051587F"/>
    <w:pPr>
      <w:autoSpaceDE w:val="0"/>
      <w:autoSpaceDN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rsid w:val="00CC7CD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locked/>
    <w:rsid w:val="00CC7CD0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rsid w:val="00154C7A"/>
    <w:pPr>
      <w:ind w:left="720"/>
      <w:contextualSpacing/>
    </w:pPr>
    <w:rPr>
      <w:sz w:val="24"/>
      <w:szCs w:val="24"/>
      <w:lang w:eastAsia="ru-RU"/>
    </w:rPr>
  </w:style>
  <w:style w:type="paragraph" w:styleId="ab">
    <w:name w:val="footer"/>
    <w:basedOn w:val="a"/>
    <w:link w:val="ac"/>
    <w:rsid w:val="00C62B4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locked/>
    <w:rsid w:val="00C62B4D"/>
    <w:rPr>
      <w:rFonts w:cs="Times New Roman"/>
    </w:rPr>
  </w:style>
  <w:style w:type="paragraph" w:styleId="2">
    <w:name w:val="Body Text Indent 2"/>
    <w:basedOn w:val="a"/>
    <w:link w:val="20"/>
    <w:rsid w:val="00986710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986710"/>
    <w:rPr>
      <w:sz w:val="28"/>
      <w:lang w:eastAsia="en-US"/>
    </w:rPr>
  </w:style>
  <w:style w:type="character" w:styleId="ad">
    <w:name w:val="Hyperlink"/>
    <w:basedOn w:val="a0"/>
    <w:unhideWhenUsed/>
    <w:rsid w:val="00986710"/>
    <w:rPr>
      <w:color w:val="0000FF"/>
      <w:u w:val="single"/>
    </w:rPr>
  </w:style>
  <w:style w:type="paragraph" w:customStyle="1" w:styleId="ConsPlusNormal">
    <w:name w:val="ConsPlusNormal"/>
    <w:rsid w:val="0098671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e">
    <w:name w:val="Body Text"/>
    <w:basedOn w:val="a"/>
    <w:link w:val="af"/>
    <w:rsid w:val="00986710"/>
    <w:pPr>
      <w:spacing w:after="120"/>
    </w:pPr>
  </w:style>
  <w:style w:type="character" w:customStyle="1" w:styleId="af">
    <w:name w:val="Основной текст Знак"/>
    <w:basedOn w:val="a0"/>
    <w:link w:val="ae"/>
    <w:rsid w:val="00986710"/>
    <w:rPr>
      <w:sz w:val="28"/>
      <w:lang w:eastAsia="en-US"/>
    </w:rPr>
  </w:style>
  <w:style w:type="paragraph" w:styleId="af0">
    <w:name w:val="Normal (Web)"/>
    <w:basedOn w:val="a"/>
    <w:rsid w:val="00FA613D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Bodytext3">
    <w:name w:val="Body text3"/>
    <w:basedOn w:val="a0"/>
    <w:uiPriority w:val="99"/>
    <w:rsid w:val="00283F73"/>
    <w:rPr>
      <w:noProof/>
      <w:sz w:val="28"/>
      <w:szCs w:val="28"/>
      <w:shd w:val="clear" w:color="auto" w:fill="FFFFF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6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E522C8-9E7E-4896-AA25-E728E1918D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7</Pages>
  <Words>2623</Words>
  <Characters>14955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Информация о поступивших обращениях граждан в адрес Министра, Министерства (без указания должностного лица) и заместителей Министра за 4 квартал 2014 года</vt:lpstr>
    </vt:vector>
  </TitlesOfParts>
  <Company>Hewlett-Packard Company</Company>
  <LinksUpToDate>false</LinksUpToDate>
  <CharactersWithSpaces>17543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Информация о поступивших обращениях граждан в адрес Министра, Министерства (без указания должностного лица) и заместителей Министра за 4 квартал 2014 года</dc:title>
  <dc:creator>Кулакова Лариса Викторовна</dc:creator>
  <cp:lastModifiedBy>2</cp:lastModifiedBy>
  <cp:revision>5</cp:revision>
  <cp:lastPrinted>2016-03-18T06:32:00Z</cp:lastPrinted>
  <dcterms:created xsi:type="dcterms:W3CDTF">2016-03-17T10:40:00Z</dcterms:created>
  <dcterms:modified xsi:type="dcterms:W3CDTF">2016-03-18T06:32:00Z</dcterms:modified>
</cp:coreProperties>
</file>